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F21E2D" w:rsidRPr="00C85D31" w:rsidTr="00F21E2D">
        <w:tc>
          <w:tcPr>
            <w:tcW w:w="1129" w:type="dxa"/>
            <w:shd w:val="clear" w:color="auto" w:fill="auto"/>
          </w:tcPr>
          <w:p w:rsidR="00F21E2D" w:rsidRPr="00C85D31" w:rsidRDefault="00F21E2D" w:rsidP="00F21E2D">
            <w:pPr>
              <w:pStyle w:val="lfej"/>
              <w:jc w:val="both"/>
              <w:rPr>
                <w:sz w:val="22"/>
                <w:szCs w:val="22"/>
              </w:rPr>
            </w:pPr>
            <w:r w:rsidRPr="00C85D31">
              <w:rPr>
                <w:noProof/>
                <w:sz w:val="22"/>
                <w:szCs w:val="22"/>
              </w:rPr>
              <w:drawing>
                <wp:inline distT="0" distB="0" distL="0" distR="0" wp14:anchorId="60DCD80A" wp14:editId="1358D72B">
                  <wp:extent cx="532765" cy="779145"/>
                  <wp:effectExtent l="0" t="0" r="635" b="1905"/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shd w:val="clear" w:color="auto" w:fill="auto"/>
          </w:tcPr>
          <w:p w:rsidR="00F21E2D" w:rsidRPr="00C85D31" w:rsidRDefault="00F21E2D" w:rsidP="00F21E2D">
            <w:pPr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Berzencei Nagyközség Jegyzője</w:t>
            </w:r>
          </w:p>
          <w:p w:rsidR="00F21E2D" w:rsidRPr="00C85D31" w:rsidRDefault="00F21E2D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7516 Berzence, Szabadság tér 19.</w:t>
            </w:r>
          </w:p>
          <w:p w:rsidR="00F21E2D" w:rsidRPr="00C85D31" w:rsidRDefault="00F21E2D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Tel: (82) 546 092</w:t>
            </w:r>
          </w:p>
          <w:p w:rsidR="00F21E2D" w:rsidRPr="00C85D31" w:rsidRDefault="00F21E2D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 xml:space="preserve">E-mail: </w:t>
            </w:r>
            <w:hyperlink r:id="rId6" w:history="1">
              <w:r w:rsidRPr="00C85D31">
                <w:rPr>
                  <w:rStyle w:val="Hiperhivatkozs"/>
                  <w:rFonts w:cs="Times New Roman"/>
                  <w:color w:val="auto"/>
                  <w:sz w:val="22"/>
                </w:rPr>
                <w:t>jegyzo@berzence.hu</w:t>
              </w:r>
            </w:hyperlink>
          </w:p>
          <w:p w:rsidR="00F21E2D" w:rsidRPr="00C85D31" w:rsidRDefault="00F21E2D" w:rsidP="00F21E2D">
            <w:pPr>
              <w:pStyle w:val="lfej"/>
              <w:jc w:val="center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Hivatali kapu: rövid neve: BERPOLGHIV, KRID azonosító: 346828389</w:t>
            </w:r>
          </w:p>
        </w:tc>
      </w:tr>
    </w:tbl>
    <w:p w:rsidR="00F21E2D" w:rsidRPr="00C85D31" w:rsidRDefault="00F21E2D" w:rsidP="00F21E2D">
      <w:pPr>
        <w:rPr>
          <w:rFonts w:cs="Times New Roman"/>
          <w:b/>
          <w:sz w:val="22"/>
        </w:rPr>
      </w:pPr>
    </w:p>
    <w:p w:rsidR="00F21E2D" w:rsidRPr="00C85D31" w:rsidRDefault="00F21E2D" w:rsidP="00F21E2D">
      <w:pPr>
        <w:rPr>
          <w:rFonts w:cs="Times New Roman"/>
          <w:b/>
          <w:sz w:val="22"/>
        </w:rPr>
      </w:pPr>
      <w:r w:rsidRPr="00C85D31">
        <w:rPr>
          <w:rFonts w:cs="Times New Roman"/>
          <w:b/>
          <w:sz w:val="22"/>
        </w:rPr>
        <w:t>Ügyiratszám: BER/</w:t>
      </w:r>
      <w:r w:rsidR="00776F1F">
        <w:rPr>
          <w:rFonts w:cs="Times New Roman"/>
          <w:b/>
          <w:sz w:val="22"/>
        </w:rPr>
        <w:t>1006</w:t>
      </w:r>
      <w:r w:rsidRPr="00C85D31">
        <w:rPr>
          <w:rFonts w:cs="Times New Roman"/>
          <w:b/>
          <w:sz w:val="22"/>
        </w:rPr>
        <w:t>-</w:t>
      </w:r>
      <w:r w:rsidR="00776F1F">
        <w:rPr>
          <w:rFonts w:cs="Times New Roman"/>
          <w:b/>
          <w:sz w:val="22"/>
        </w:rPr>
        <w:t>1</w:t>
      </w:r>
      <w:bookmarkStart w:id="0" w:name="_GoBack"/>
      <w:bookmarkEnd w:id="0"/>
      <w:r w:rsidRPr="00C85D31">
        <w:rPr>
          <w:rFonts w:cs="Times New Roman"/>
          <w:b/>
          <w:sz w:val="22"/>
        </w:rPr>
        <w:t>/2025.</w:t>
      </w:r>
    </w:p>
    <w:p w:rsidR="00F21E2D" w:rsidRPr="00C85D31" w:rsidRDefault="00F21E2D" w:rsidP="00EF0982">
      <w:pPr>
        <w:jc w:val="center"/>
        <w:rPr>
          <w:rFonts w:cs="Times New Roman"/>
          <w:b/>
          <w:sz w:val="22"/>
        </w:rPr>
      </w:pPr>
    </w:p>
    <w:p w:rsidR="00EF0982" w:rsidRPr="00C85D31" w:rsidRDefault="00EF0982" w:rsidP="00EF0982">
      <w:pPr>
        <w:jc w:val="center"/>
        <w:rPr>
          <w:rFonts w:cs="Times New Roman"/>
          <w:b/>
          <w:sz w:val="22"/>
        </w:rPr>
      </w:pPr>
      <w:r w:rsidRPr="00C85D31">
        <w:rPr>
          <w:rFonts w:cs="Times New Roman"/>
          <w:b/>
          <w:sz w:val="22"/>
        </w:rPr>
        <w:t>E l ő t e r j e s z t é s</w:t>
      </w:r>
    </w:p>
    <w:p w:rsidR="00EF0982" w:rsidRPr="00C85D31" w:rsidRDefault="00EF0982" w:rsidP="00EF0982">
      <w:pPr>
        <w:jc w:val="center"/>
        <w:rPr>
          <w:rFonts w:cs="Times New Roman"/>
          <w:b/>
          <w:sz w:val="22"/>
        </w:rPr>
      </w:pPr>
    </w:p>
    <w:p w:rsidR="00EF0982" w:rsidRPr="00C85D31" w:rsidRDefault="00023ADA" w:rsidP="00EF0982">
      <w:pPr>
        <w:jc w:val="center"/>
        <w:rPr>
          <w:rFonts w:cs="Times New Roman"/>
          <w:b/>
          <w:sz w:val="22"/>
        </w:rPr>
      </w:pPr>
      <w:r w:rsidRPr="00C85D31">
        <w:rPr>
          <w:rFonts w:cs="Times New Roman"/>
          <w:b/>
          <w:sz w:val="22"/>
        </w:rPr>
        <w:t>B</w:t>
      </w:r>
      <w:r w:rsidR="00F21E2D" w:rsidRPr="00C85D31">
        <w:rPr>
          <w:rFonts w:cs="Times New Roman"/>
          <w:b/>
          <w:sz w:val="22"/>
        </w:rPr>
        <w:t>erzence Nagyk</w:t>
      </w:r>
      <w:r w:rsidR="00EF0982" w:rsidRPr="00C85D31">
        <w:rPr>
          <w:rFonts w:cs="Times New Roman"/>
          <w:b/>
          <w:sz w:val="22"/>
        </w:rPr>
        <w:t>özség Önkormányzata Képviselő-testületének</w:t>
      </w:r>
    </w:p>
    <w:p w:rsidR="00EF0982" w:rsidRPr="00C85D31" w:rsidRDefault="00EF0982" w:rsidP="00EF0982">
      <w:pPr>
        <w:jc w:val="center"/>
        <w:rPr>
          <w:rFonts w:cs="Times New Roman"/>
          <w:b/>
          <w:sz w:val="22"/>
        </w:rPr>
      </w:pPr>
    </w:p>
    <w:p w:rsidR="00EF0982" w:rsidRPr="00C85D31" w:rsidRDefault="00F21E2D" w:rsidP="00EF0982">
      <w:pPr>
        <w:jc w:val="center"/>
        <w:rPr>
          <w:rFonts w:cs="Times New Roman"/>
          <w:b/>
          <w:sz w:val="22"/>
        </w:rPr>
      </w:pPr>
      <w:r w:rsidRPr="00C85D31">
        <w:rPr>
          <w:rFonts w:cs="Times New Roman"/>
          <w:b/>
          <w:sz w:val="22"/>
        </w:rPr>
        <w:t>2025</w:t>
      </w:r>
      <w:r w:rsidR="00EF0982" w:rsidRPr="00C85D31">
        <w:rPr>
          <w:rFonts w:cs="Times New Roman"/>
          <w:b/>
          <w:sz w:val="22"/>
        </w:rPr>
        <w:t xml:space="preserve">. </w:t>
      </w:r>
      <w:r w:rsidR="00023ADA" w:rsidRPr="00C85D31">
        <w:rPr>
          <w:rFonts w:cs="Times New Roman"/>
          <w:b/>
          <w:sz w:val="22"/>
        </w:rPr>
        <w:t xml:space="preserve">év </w:t>
      </w:r>
      <w:r w:rsidRPr="00C85D31">
        <w:rPr>
          <w:rFonts w:cs="Times New Roman"/>
          <w:b/>
          <w:sz w:val="22"/>
        </w:rPr>
        <w:t>augusztus hó 26</w:t>
      </w:r>
      <w:r w:rsidR="00EF0982" w:rsidRPr="00C85D31">
        <w:rPr>
          <w:rFonts w:cs="Times New Roman"/>
          <w:b/>
          <w:sz w:val="22"/>
        </w:rPr>
        <w:t>. napján tartandó ülésére</w:t>
      </w:r>
    </w:p>
    <w:p w:rsidR="00EF0982" w:rsidRPr="00C85D31" w:rsidRDefault="00EF0982" w:rsidP="00EF0982">
      <w:pPr>
        <w:jc w:val="center"/>
        <w:rPr>
          <w:rFonts w:cs="Times New Roman"/>
          <w:i/>
          <w:sz w:val="22"/>
        </w:rPr>
      </w:pPr>
    </w:p>
    <w:p w:rsidR="00EF0982" w:rsidRPr="00C85D31" w:rsidRDefault="00BF7843" w:rsidP="00EF0982">
      <w:pPr>
        <w:jc w:val="center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3</w:t>
      </w:r>
      <w:r w:rsidR="00EF0982" w:rsidRPr="00C85D31">
        <w:rPr>
          <w:rFonts w:cs="Times New Roman"/>
          <w:i/>
          <w:sz w:val="22"/>
        </w:rPr>
        <w:t xml:space="preserve">. napirendi pont </w:t>
      </w:r>
    </w:p>
    <w:p w:rsidR="00EF0982" w:rsidRPr="00C85D31" w:rsidRDefault="00EF0982" w:rsidP="00EF0982">
      <w:pPr>
        <w:jc w:val="center"/>
        <w:rPr>
          <w:rFonts w:cs="Times New Roman"/>
          <w:b/>
          <w:sz w:val="22"/>
        </w:rPr>
      </w:pPr>
    </w:p>
    <w:p w:rsidR="00EF0982" w:rsidRPr="00C85D31" w:rsidRDefault="00EF0982" w:rsidP="00E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 w:val="22"/>
        </w:rPr>
      </w:pPr>
      <w:r w:rsidRPr="00C85D31">
        <w:rPr>
          <w:rFonts w:cs="Times New Roman"/>
          <w:b/>
          <w:sz w:val="22"/>
          <w:u w:val="single"/>
        </w:rPr>
        <w:t>Tárgy</w:t>
      </w:r>
      <w:r w:rsidRPr="00C85D31">
        <w:rPr>
          <w:rFonts w:cs="Times New Roman"/>
          <w:b/>
          <w:sz w:val="22"/>
        </w:rPr>
        <w:t xml:space="preserve">: </w:t>
      </w:r>
      <w:r w:rsidR="00972869" w:rsidRPr="00C85D31">
        <w:rPr>
          <w:rFonts w:cs="Times New Roman"/>
          <w:b/>
          <w:sz w:val="22"/>
        </w:rPr>
        <w:t>Beszámoló a</w:t>
      </w:r>
      <w:r w:rsidRPr="00C85D31">
        <w:rPr>
          <w:rFonts w:eastAsia="Calibri" w:cs="Times New Roman"/>
          <w:b/>
          <w:sz w:val="22"/>
        </w:rPr>
        <w:t xml:space="preserve"> helyi </w:t>
      </w:r>
      <w:r w:rsidR="00B10329" w:rsidRPr="00C85D31">
        <w:rPr>
          <w:rFonts w:eastAsia="Calibri" w:cs="Times New Roman"/>
          <w:b/>
          <w:sz w:val="22"/>
        </w:rPr>
        <w:t>önkormányzati ren</w:t>
      </w:r>
      <w:r w:rsidR="00972869" w:rsidRPr="00C85D31">
        <w:rPr>
          <w:rFonts w:eastAsia="Calibri" w:cs="Times New Roman"/>
          <w:b/>
          <w:sz w:val="22"/>
        </w:rPr>
        <w:t>deletek utólagos hatásvizsgálatáról</w:t>
      </w:r>
      <w:r w:rsidRPr="00C85D31">
        <w:rPr>
          <w:rFonts w:eastAsia="Calibri" w:cs="Times New Roman"/>
          <w:b/>
          <w:sz w:val="22"/>
        </w:rPr>
        <w:t xml:space="preserve">. </w:t>
      </w:r>
    </w:p>
    <w:p w:rsidR="00EF0982" w:rsidRPr="00C85D31" w:rsidRDefault="00EF0982" w:rsidP="00E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i/>
          <w:sz w:val="22"/>
        </w:rPr>
      </w:pPr>
      <w:r w:rsidRPr="00C85D31">
        <w:rPr>
          <w:rFonts w:cs="Times New Roman"/>
          <w:b/>
          <w:sz w:val="22"/>
        </w:rPr>
        <w:t xml:space="preserve">Előterjesztő: </w:t>
      </w:r>
      <w:r w:rsidR="00704660" w:rsidRPr="00C85D31">
        <w:rPr>
          <w:rFonts w:cs="Times New Roman"/>
          <w:b/>
          <w:sz w:val="22"/>
        </w:rPr>
        <w:t xml:space="preserve">Boti Ferenc </w:t>
      </w:r>
      <w:r w:rsidR="00F21E2D" w:rsidRPr="00C85D31">
        <w:rPr>
          <w:rFonts w:cs="Times New Roman"/>
          <w:b/>
          <w:sz w:val="22"/>
        </w:rPr>
        <w:t>jegyző</w:t>
      </w:r>
    </w:p>
    <w:p w:rsidR="00EF0982" w:rsidRPr="00C85D31" w:rsidRDefault="00EF0982" w:rsidP="00EF0982">
      <w:pPr>
        <w:pStyle w:val="Stlus"/>
        <w:spacing w:line="244" w:lineRule="exact"/>
        <w:ind w:right="1115"/>
        <w:rPr>
          <w:b/>
          <w:bCs/>
          <w:sz w:val="22"/>
          <w:szCs w:val="22"/>
        </w:rPr>
      </w:pPr>
    </w:p>
    <w:p w:rsidR="00F21E2D" w:rsidRPr="00C85D31" w:rsidRDefault="00F21E2D" w:rsidP="00EF0982">
      <w:pPr>
        <w:pStyle w:val="Stlus"/>
        <w:spacing w:line="244" w:lineRule="exact"/>
        <w:ind w:right="1115"/>
        <w:rPr>
          <w:b/>
          <w:bCs/>
          <w:i/>
          <w:sz w:val="22"/>
          <w:szCs w:val="22"/>
        </w:rPr>
      </w:pPr>
    </w:p>
    <w:p w:rsidR="00B10329" w:rsidRPr="00C85D31" w:rsidRDefault="00EF0982" w:rsidP="00EF0982">
      <w:pPr>
        <w:pStyle w:val="Stlus"/>
        <w:spacing w:line="244" w:lineRule="exact"/>
        <w:ind w:right="1115"/>
        <w:rPr>
          <w:b/>
          <w:bCs/>
          <w:i/>
          <w:sz w:val="22"/>
          <w:szCs w:val="22"/>
        </w:rPr>
      </w:pPr>
      <w:r w:rsidRPr="00C85D31">
        <w:rPr>
          <w:b/>
          <w:bCs/>
          <w:i/>
          <w:sz w:val="22"/>
          <w:szCs w:val="22"/>
        </w:rPr>
        <w:t>Tisztelt Képviselő-testület!</w:t>
      </w:r>
    </w:p>
    <w:p w:rsidR="00B10329" w:rsidRPr="00C85D31" w:rsidRDefault="00B10329" w:rsidP="00EF0982">
      <w:pPr>
        <w:pStyle w:val="Stlus"/>
        <w:spacing w:line="244" w:lineRule="exact"/>
        <w:ind w:right="1115"/>
        <w:rPr>
          <w:b/>
          <w:bCs/>
          <w:i/>
          <w:sz w:val="22"/>
          <w:szCs w:val="22"/>
        </w:rPr>
      </w:pPr>
    </w:p>
    <w:p w:rsidR="00F21E2D" w:rsidRPr="00C85D31" w:rsidRDefault="00F21E2D" w:rsidP="00B10329">
      <w:pPr>
        <w:pStyle w:val="Stlus"/>
        <w:spacing w:line="244" w:lineRule="exact"/>
        <w:jc w:val="both"/>
        <w:rPr>
          <w:bCs/>
          <w:sz w:val="22"/>
          <w:szCs w:val="22"/>
        </w:rPr>
      </w:pPr>
    </w:p>
    <w:p w:rsidR="00B10329" w:rsidRPr="00C85D31" w:rsidRDefault="00436EE7" w:rsidP="00B10329">
      <w:pPr>
        <w:pStyle w:val="Stlus"/>
        <w:spacing w:line="244" w:lineRule="exact"/>
        <w:jc w:val="both"/>
        <w:rPr>
          <w:bCs/>
          <w:sz w:val="22"/>
          <w:szCs w:val="22"/>
        </w:rPr>
      </w:pPr>
      <w:r w:rsidRPr="00C85D31">
        <w:rPr>
          <w:bCs/>
          <w:sz w:val="22"/>
          <w:szCs w:val="22"/>
        </w:rPr>
        <w:t xml:space="preserve">   </w:t>
      </w:r>
      <w:r w:rsidR="00B10329" w:rsidRPr="00C85D31">
        <w:rPr>
          <w:bCs/>
          <w:sz w:val="22"/>
          <w:szCs w:val="22"/>
        </w:rPr>
        <w:t xml:space="preserve">A jogalkotásról szóló 2010. évi CXXX. törvény (a továbbiakban: </w:t>
      </w:r>
      <w:proofErr w:type="spellStart"/>
      <w:r w:rsidR="00B10329" w:rsidRPr="00C85D31">
        <w:rPr>
          <w:bCs/>
          <w:sz w:val="22"/>
          <w:szCs w:val="22"/>
        </w:rPr>
        <w:t>Jat</w:t>
      </w:r>
      <w:proofErr w:type="spellEnd"/>
      <w:r w:rsidR="00B10329" w:rsidRPr="00C85D31">
        <w:rPr>
          <w:bCs/>
          <w:sz w:val="22"/>
          <w:szCs w:val="22"/>
        </w:rPr>
        <w:t>.) 17.§-</w:t>
      </w:r>
      <w:proofErr w:type="gramStart"/>
      <w:r w:rsidR="00B10329" w:rsidRPr="00C85D31">
        <w:rPr>
          <w:bCs/>
          <w:sz w:val="22"/>
          <w:szCs w:val="22"/>
        </w:rPr>
        <w:t>a</w:t>
      </w:r>
      <w:proofErr w:type="gramEnd"/>
      <w:r w:rsidR="00B10329" w:rsidRPr="00C85D31">
        <w:rPr>
          <w:bCs/>
          <w:sz w:val="22"/>
          <w:szCs w:val="22"/>
        </w:rPr>
        <w:t xml:space="preserve"> alapján</w:t>
      </w:r>
    </w:p>
    <w:p w:rsidR="00B10329" w:rsidRPr="00C85D31" w:rsidRDefault="00B10329" w:rsidP="00B10329">
      <w:pPr>
        <w:shd w:val="clear" w:color="auto" w:fill="FFFFFF"/>
        <w:spacing w:line="310" w:lineRule="atLeast"/>
        <w:rPr>
          <w:rFonts w:eastAsia="Times New Roman" w:cs="Times New Roman"/>
          <w:sz w:val="22"/>
          <w:lang w:eastAsia="hu-HU"/>
        </w:rPr>
      </w:pPr>
    </w:p>
    <w:p w:rsidR="00B10329" w:rsidRPr="00C85D31" w:rsidRDefault="00B10329" w:rsidP="00B10329">
      <w:pPr>
        <w:shd w:val="clear" w:color="auto" w:fill="FFFFFF"/>
        <w:spacing w:line="310" w:lineRule="atLeast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A jogszabály előkészítője - a jogszabály feltételezett hatásaihoz igazodó részletességű - előzetes </w:t>
      </w:r>
      <w:bookmarkStart w:id="1" w:name="ws1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"ws2"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1"/>
      <w:r w:rsidRPr="00C85D31">
        <w:rPr>
          <w:rFonts w:eastAsia="Times New Roman" w:cs="Times New Roman"/>
          <w:sz w:val="22"/>
          <w:lang w:eastAsia="hu-HU"/>
        </w:rPr>
        <w:t> elvégzésével felméri a szabályozás várható következményeit. Az előzetes </w:t>
      </w:r>
      <w:bookmarkStart w:id="2" w:name="ws2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"ws3"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2"/>
      <w:r w:rsidRPr="00C85D31">
        <w:rPr>
          <w:rFonts w:eastAsia="Times New Roman" w:cs="Times New Roman"/>
          <w:sz w:val="22"/>
          <w:lang w:eastAsia="hu-HU"/>
        </w:rPr>
        <w:t> eredményéről a Kormány által előterjesztendő törvényjavaslat, illetve kormányrendelet esetén a Kormányt, önkormányzati rendelet esetén a helyi önkormányzat képviselő-testületét tájékoztatni kell. A Kormány tagja rendeletében meghatározott esetben a közjogi szervezetszabályozó eszköz előkészítője előzetes </w:t>
      </w:r>
      <w:bookmarkStart w:id="3" w:name="ws3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"ws4"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hatásvizsgálatot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3"/>
      <w:r w:rsidRPr="00C85D31">
        <w:rPr>
          <w:rFonts w:eastAsia="Times New Roman" w:cs="Times New Roman"/>
          <w:sz w:val="22"/>
          <w:lang w:eastAsia="hu-HU"/>
        </w:rPr>
        <w:t> végez.</w:t>
      </w:r>
    </w:p>
    <w:p w:rsidR="00B10329" w:rsidRPr="00C85D31" w:rsidRDefault="00B10329" w:rsidP="00B10329">
      <w:pPr>
        <w:shd w:val="clear" w:color="auto" w:fill="FFFFFF"/>
        <w:spacing w:line="310" w:lineRule="atLeast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A </w:t>
      </w:r>
      <w:bookmarkStart w:id="4" w:name="ws4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"ws5"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4"/>
      <w:r w:rsidRPr="00C85D31">
        <w:rPr>
          <w:rFonts w:eastAsia="Times New Roman" w:cs="Times New Roman"/>
          <w:sz w:val="22"/>
          <w:lang w:eastAsia="hu-HU"/>
        </w:rPr>
        <w:t> során vizsgálni kell</w:t>
      </w:r>
    </w:p>
    <w:p w:rsidR="00B10329" w:rsidRPr="00C85D31" w:rsidRDefault="00B10329" w:rsidP="00B10329">
      <w:pPr>
        <w:shd w:val="clear" w:color="auto" w:fill="FFFFFF"/>
        <w:spacing w:line="310" w:lineRule="atLeast"/>
        <w:ind w:firstLine="240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i/>
          <w:iCs/>
          <w:sz w:val="22"/>
          <w:lang w:eastAsia="hu-HU"/>
        </w:rPr>
        <w:t>a</w:t>
      </w:r>
      <w:proofErr w:type="gramEnd"/>
      <w:r w:rsidRPr="00C85D31">
        <w:rPr>
          <w:rFonts w:eastAsia="Times New Roman" w:cs="Times New Roman"/>
          <w:i/>
          <w:iCs/>
          <w:sz w:val="22"/>
          <w:lang w:eastAsia="hu-HU"/>
        </w:rPr>
        <w:t>) </w:t>
      </w:r>
      <w:r w:rsidRPr="00C85D31">
        <w:rPr>
          <w:rFonts w:eastAsia="Times New Roman" w:cs="Times New Roman"/>
          <w:sz w:val="22"/>
          <w:lang w:eastAsia="hu-HU"/>
        </w:rPr>
        <w:t>a tervezett jogszabály valamennyi jelentősnek ítélt hatását, különösen</w:t>
      </w:r>
    </w:p>
    <w:p w:rsidR="00B10329" w:rsidRPr="00C85D31" w:rsidRDefault="00B10329" w:rsidP="00B10329">
      <w:pPr>
        <w:shd w:val="clear" w:color="auto" w:fill="FFFFFF"/>
        <w:spacing w:line="310" w:lineRule="atLeast"/>
        <w:ind w:firstLine="240"/>
        <w:rPr>
          <w:rFonts w:eastAsia="Times New Roman" w:cs="Times New Roman"/>
          <w:sz w:val="22"/>
          <w:lang w:eastAsia="hu-HU"/>
        </w:rPr>
      </w:pPr>
      <w:proofErr w:type="spellStart"/>
      <w:r w:rsidRPr="00C85D31">
        <w:rPr>
          <w:rFonts w:eastAsia="Times New Roman" w:cs="Times New Roman"/>
          <w:i/>
          <w:iCs/>
          <w:sz w:val="22"/>
          <w:lang w:eastAsia="hu-HU"/>
        </w:rPr>
        <w:t>aa</w:t>
      </w:r>
      <w:proofErr w:type="spellEnd"/>
      <w:r w:rsidRPr="00C85D31">
        <w:rPr>
          <w:rFonts w:eastAsia="Times New Roman" w:cs="Times New Roman"/>
          <w:i/>
          <w:iCs/>
          <w:sz w:val="22"/>
          <w:lang w:eastAsia="hu-HU"/>
        </w:rPr>
        <w:t>) </w:t>
      </w:r>
      <w:r w:rsidRPr="00C85D31">
        <w:rPr>
          <w:rFonts w:eastAsia="Times New Roman" w:cs="Times New Roman"/>
          <w:sz w:val="22"/>
          <w:lang w:eastAsia="hu-HU"/>
        </w:rPr>
        <w:t>társadalmi, gazdasági, költségvetési hatásait,</w:t>
      </w:r>
    </w:p>
    <w:p w:rsidR="00B10329" w:rsidRPr="00C85D31" w:rsidRDefault="00B10329" w:rsidP="00B10329">
      <w:pPr>
        <w:shd w:val="clear" w:color="auto" w:fill="FFFFFF"/>
        <w:spacing w:line="310" w:lineRule="atLeast"/>
        <w:ind w:firstLine="240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i/>
          <w:iCs/>
          <w:sz w:val="22"/>
          <w:lang w:eastAsia="hu-HU"/>
        </w:rPr>
        <w:t>ab</w:t>
      </w:r>
      <w:proofErr w:type="gramEnd"/>
      <w:r w:rsidRPr="00C85D31">
        <w:rPr>
          <w:rFonts w:eastAsia="Times New Roman" w:cs="Times New Roman"/>
          <w:i/>
          <w:iCs/>
          <w:sz w:val="22"/>
          <w:lang w:eastAsia="hu-HU"/>
        </w:rPr>
        <w:t>) </w:t>
      </w:r>
      <w:r w:rsidRPr="00C85D31">
        <w:rPr>
          <w:rFonts w:eastAsia="Times New Roman" w:cs="Times New Roman"/>
          <w:sz w:val="22"/>
          <w:lang w:eastAsia="hu-HU"/>
        </w:rPr>
        <w:t>környezeti és egészségi következményeit,</w:t>
      </w:r>
    </w:p>
    <w:p w:rsidR="00B10329" w:rsidRPr="00C85D31" w:rsidRDefault="00B10329" w:rsidP="00B10329">
      <w:pPr>
        <w:shd w:val="clear" w:color="auto" w:fill="FFFFFF"/>
        <w:spacing w:line="310" w:lineRule="atLeast"/>
        <w:ind w:firstLine="240"/>
        <w:rPr>
          <w:rFonts w:eastAsia="Times New Roman" w:cs="Times New Roman"/>
          <w:sz w:val="22"/>
          <w:lang w:eastAsia="hu-HU"/>
        </w:rPr>
      </w:pPr>
      <w:proofErr w:type="spellStart"/>
      <w:r w:rsidRPr="00C85D31">
        <w:rPr>
          <w:rFonts w:eastAsia="Times New Roman" w:cs="Times New Roman"/>
          <w:i/>
          <w:iCs/>
          <w:sz w:val="22"/>
          <w:lang w:eastAsia="hu-HU"/>
        </w:rPr>
        <w:t>ac</w:t>
      </w:r>
      <w:proofErr w:type="spellEnd"/>
      <w:r w:rsidRPr="00C85D31">
        <w:rPr>
          <w:rFonts w:eastAsia="Times New Roman" w:cs="Times New Roman"/>
          <w:i/>
          <w:iCs/>
          <w:sz w:val="22"/>
          <w:lang w:eastAsia="hu-HU"/>
        </w:rPr>
        <w:t>) </w:t>
      </w:r>
      <w:r w:rsidRPr="00C85D31">
        <w:rPr>
          <w:rFonts w:eastAsia="Times New Roman" w:cs="Times New Roman"/>
          <w:sz w:val="22"/>
          <w:lang w:eastAsia="hu-HU"/>
        </w:rPr>
        <w:t>adminisztratív terheket befolyásoló hatásait, valamint</w:t>
      </w:r>
    </w:p>
    <w:p w:rsidR="00B10329" w:rsidRPr="00C85D31" w:rsidRDefault="00B10329" w:rsidP="00B10329">
      <w:pPr>
        <w:shd w:val="clear" w:color="auto" w:fill="FFFFFF"/>
        <w:spacing w:line="310" w:lineRule="atLeast"/>
        <w:ind w:firstLine="240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b) </w:t>
      </w:r>
      <w:r w:rsidRPr="00C85D31">
        <w:rPr>
          <w:rFonts w:eastAsia="Times New Roman" w:cs="Times New Roman"/>
          <w:sz w:val="22"/>
          <w:lang w:eastAsia="hu-HU"/>
        </w:rPr>
        <w:t>a jogszabály megalkotásának szükségességét, a jogalkotás elmaradásának várható következményeit, és</w:t>
      </w:r>
    </w:p>
    <w:p w:rsidR="00B10329" w:rsidRPr="00C85D31" w:rsidRDefault="00B10329" w:rsidP="00B10329">
      <w:pPr>
        <w:shd w:val="clear" w:color="auto" w:fill="FFFFFF"/>
        <w:spacing w:line="310" w:lineRule="atLeast"/>
        <w:ind w:firstLine="240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c) </w:t>
      </w:r>
      <w:r w:rsidRPr="00C85D31">
        <w:rPr>
          <w:rFonts w:eastAsia="Times New Roman" w:cs="Times New Roman"/>
          <w:sz w:val="22"/>
          <w:lang w:eastAsia="hu-HU"/>
        </w:rPr>
        <w:t>a jogszabály alkalmazásához szükséges személyi, szervezeti, tárgyi és pénzügyi feltételeket.</w:t>
      </w:r>
    </w:p>
    <w:p w:rsidR="00B10329" w:rsidRPr="00C85D31" w:rsidRDefault="00B10329" w:rsidP="00B10329">
      <w:pPr>
        <w:shd w:val="clear" w:color="auto" w:fill="FFFFFF"/>
        <w:spacing w:line="310" w:lineRule="atLeast"/>
        <w:rPr>
          <w:rFonts w:eastAsia="Times New Roman" w:cs="Times New Roman"/>
          <w:sz w:val="22"/>
          <w:lang w:eastAsia="hu-HU"/>
        </w:rPr>
      </w:pPr>
      <w:bookmarkStart w:id="5" w:name="para17_a"/>
      <w:bookmarkEnd w:id="5"/>
      <w:r w:rsidRPr="00C85D31">
        <w:rPr>
          <w:rFonts w:eastAsia="Times New Roman" w:cs="Times New Roman"/>
          <w:sz w:val="22"/>
          <w:lang w:eastAsia="hu-HU"/>
        </w:rPr>
        <w:t>A jogszabály előkészítőjének feladata, hogy az előzetes </w:t>
      </w:r>
      <w:bookmarkStart w:id="6" w:name="ws5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"ws6"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6"/>
      <w:r w:rsidRPr="00C85D31">
        <w:rPr>
          <w:rFonts w:eastAsia="Times New Roman" w:cs="Times New Roman"/>
          <w:sz w:val="22"/>
          <w:lang w:eastAsia="hu-HU"/>
        </w:rPr>
        <w:t> eredményét mérlegelje, és - a jogalkotás alapvető követelményei figyelembevételével - akkor tegyen javaslatot a jogszabály megalkotására, ha az a szabályozási cél eléréséhez feltétlenül szükséges.</w:t>
      </w:r>
    </w:p>
    <w:p w:rsidR="00B10329" w:rsidRPr="00C85D31" w:rsidRDefault="00B10329" w:rsidP="00B10329">
      <w:pPr>
        <w:shd w:val="clear" w:color="auto" w:fill="FFFFFF"/>
        <w:rPr>
          <w:rFonts w:eastAsia="Times New Roman" w:cs="Times New Roman"/>
          <w:sz w:val="22"/>
          <w:lang w:eastAsia="hu-HU"/>
        </w:rPr>
      </w:pPr>
    </w:p>
    <w:p w:rsidR="00B10329" w:rsidRPr="00C85D31" w:rsidRDefault="00B10329" w:rsidP="00B10329">
      <w:pPr>
        <w:pStyle w:val="Stlus"/>
        <w:jc w:val="both"/>
        <w:rPr>
          <w:bCs/>
          <w:sz w:val="22"/>
          <w:szCs w:val="22"/>
        </w:rPr>
      </w:pPr>
      <w:r w:rsidRPr="00C85D31">
        <w:rPr>
          <w:bCs/>
          <w:sz w:val="22"/>
          <w:szCs w:val="22"/>
        </w:rPr>
        <w:t xml:space="preserve">A </w:t>
      </w:r>
      <w:proofErr w:type="spellStart"/>
      <w:r w:rsidRPr="00C85D31">
        <w:rPr>
          <w:bCs/>
          <w:sz w:val="22"/>
          <w:szCs w:val="22"/>
        </w:rPr>
        <w:t>Jat</w:t>
      </w:r>
      <w:proofErr w:type="spellEnd"/>
      <w:r w:rsidRPr="00C85D31">
        <w:rPr>
          <w:bCs/>
          <w:sz w:val="22"/>
          <w:szCs w:val="22"/>
        </w:rPr>
        <w:t>. 21. és 22. §-</w:t>
      </w:r>
      <w:proofErr w:type="spellStart"/>
      <w:r w:rsidRPr="00C85D31">
        <w:rPr>
          <w:bCs/>
          <w:sz w:val="22"/>
          <w:szCs w:val="22"/>
        </w:rPr>
        <w:t>ai</w:t>
      </w:r>
      <w:proofErr w:type="spellEnd"/>
      <w:r w:rsidRPr="00C85D31">
        <w:rPr>
          <w:bCs/>
          <w:sz w:val="22"/>
          <w:szCs w:val="22"/>
        </w:rPr>
        <w:t xml:space="preserve"> alapján:</w:t>
      </w:r>
    </w:p>
    <w:p w:rsidR="00B10329" w:rsidRPr="00C85D31" w:rsidRDefault="00B10329" w:rsidP="00B10329">
      <w:pPr>
        <w:pStyle w:val="Stlus"/>
        <w:jc w:val="both"/>
        <w:rPr>
          <w:bCs/>
          <w:sz w:val="22"/>
          <w:szCs w:val="22"/>
        </w:rPr>
      </w:pPr>
    </w:p>
    <w:p w:rsidR="00B10329" w:rsidRPr="00C85D31" w:rsidRDefault="00B10329" w:rsidP="00B10329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 xml:space="preserve">A Kormány tagja folyamatosan figyelemmel kíséri a feladatkörébe tartozó jogszabályok </w:t>
      </w:r>
      <w:proofErr w:type="spellStart"/>
      <w:r w:rsidRPr="00C85D31">
        <w:rPr>
          <w:rFonts w:eastAsia="Times New Roman" w:cs="Times New Roman"/>
          <w:sz w:val="22"/>
          <w:lang w:eastAsia="hu-HU"/>
        </w:rPr>
        <w:t>hatályosulását</w:t>
      </w:r>
      <w:proofErr w:type="spellEnd"/>
      <w:r w:rsidRPr="00C85D31">
        <w:rPr>
          <w:rFonts w:eastAsia="Times New Roman" w:cs="Times New Roman"/>
          <w:sz w:val="22"/>
          <w:lang w:eastAsia="hu-HU"/>
        </w:rPr>
        <w:t>, és szükség szerint lefolytatja a jogszabályok - a 17. § (2) bekezdésében meghatározott szempontok szerinti - utólagos </w:t>
      </w:r>
      <w:bookmarkStart w:id="7" w:name="ws7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"ws8"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hatásvizsgálatát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7"/>
      <w:r w:rsidRPr="00C85D31">
        <w:rPr>
          <w:rFonts w:eastAsia="Times New Roman" w:cs="Times New Roman"/>
          <w:sz w:val="22"/>
          <w:lang w:eastAsia="hu-HU"/>
        </w:rPr>
        <w:t>, ennek során összeveti a szabályozás megalkotása idején várt hatásokat a tényleges hatásokkal.</w:t>
      </w:r>
    </w:p>
    <w:p w:rsidR="00B10329" w:rsidRPr="00C85D31" w:rsidRDefault="00B10329" w:rsidP="00115CF0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 xml:space="preserve">Az </w:t>
      </w:r>
      <w:r w:rsidR="00115CF0" w:rsidRPr="00C85D31">
        <w:rPr>
          <w:rFonts w:eastAsia="Times New Roman" w:cs="Times New Roman"/>
          <w:sz w:val="22"/>
          <w:lang w:eastAsia="hu-HU"/>
        </w:rPr>
        <w:t>utólagos</w:t>
      </w:r>
      <w:r w:rsidRPr="00C85D31">
        <w:rPr>
          <w:rFonts w:eastAsia="Times New Roman" w:cs="Times New Roman"/>
          <w:sz w:val="22"/>
          <w:lang w:eastAsia="hu-HU"/>
        </w:rPr>
        <w:t> </w:t>
      </w:r>
      <w:bookmarkStart w:id="8" w:name="ws8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"ws9"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8"/>
      <w:r w:rsidRPr="00C85D31">
        <w:rPr>
          <w:rFonts w:eastAsia="Times New Roman" w:cs="Times New Roman"/>
          <w:sz w:val="22"/>
          <w:lang w:eastAsia="hu-HU"/>
        </w:rPr>
        <w:t> lefolytatásáról az általa alkotott rendelet esetén a Magyar Nemzeti Bank elnöke, az önálló szabályozó szerv vezetője, az önkormányzati rendelet esetén a jegyző gondoskodik.</w:t>
      </w:r>
    </w:p>
    <w:p w:rsidR="00B10329" w:rsidRPr="00C85D31" w:rsidRDefault="00B10329" w:rsidP="00115CF0">
      <w:pPr>
        <w:shd w:val="clear" w:color="auto" w:fill="FFFFFF"/>
        <w:rPr>
          <w:rFonts w:eastAsia="Times New Roman" w:cs="Times New Roman"/>
          <w:sz w:val="22"/>
          <w:lang w:eastAsia="hu-HU"/>
        </w:rPr>
      </w:pPr>
      <w:bookmarkStart w:id="9" w:name="para22"/>
      <w:bookmarkEnd w:id="9"/>
      <w:r w:rsidRPr="00C85D31">
        <w:rPr>
          <w:rFonts w:eastAsia="Times New Roman" w:cs="Times New Roman"/>
          <w:sz w:val="22"/>
          <w:lang w:eastAsia="hu-HU"/>
        </w:rPr>
        <w:lastRenderedPageBreak/>
        <w:t>A jogalkalmazás és az utólagos </w:t>
      </w:r>
      <w:bookmarkStart w:id="10" w:name="ws9"/>
      <w:r w:rsidR="0067656E" w:rsidRPr="00C85D31">
        <w:rPr>
          <w:rFonts w:eastAsia="Times New Roman" w:cs="Times New Roman"/>
          <w:sz w:val="22"/>
          <w:lang w:eastAsia="hu-HU"/>
        </w:rPr>
        <w:fldChar w:fldCharType="begin"/>
      </w:r>
      <w:r w:rsidRPr="00C85D31">
        <w:rPr>
          <w:rFonts w:eastAsia="Times New Roman" w:cs="Times New Roman"/>
          <w:sz w:val="22"/>
          <w:lang w:eastAsia="hu-HU"/>
        </w:rPr>
        <w:instrText xml:space="preserve"> HYPERLINK "https://optijus.hu/optijus/lawtext/1-A1000130.TV?tkertip=4&amp;tsearch=hat%c3%a1svizsg%c3%a1lat*&amp;page_to=-1" \l "ws10" </w:instrText>
      </w:r>
      <w:r w:rsidR="0067656E" w:rsidRPr="00C85D31">
        <w:rPr>
          <w:rFonts w:eastAsia="Times New Roman" w:cs="Times New Roman"/>
          <w:sz w:val="22"/>
          <w:lang w:eastAsia="hu-HU"/>
        </w:rPr>
        <w:fldChar w:fldCharType="separate"/>
      </w:r>
      <w:r w:rsidRPr="00C85D31">
        <w:rPr>
          <w:rFonts w:eastAsia="Times New Roman" w:cs="Times New Roman"/>
          <w:bCs/>
          <w:sz w:val="22"/>
          <w:lang w:eastAsia="hu-HU"/>
        </w:rPr>
        <w:t>hatásvizsgálat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bookmarkEnd w:id="10"/>
      <w:r w:rsidRPr="00C85D31">
        <w:rPr>
          <w:rFonts w:eastAsia="Times New Roman" w:cs="Times New Roman"/>
          <w:sz w:val="22"/>
          <w:lang w:eastAsia="hu-HU"/>
        </w:rPr>
        <w:t> tapasztalatait is figyelembe véve a Kormány tagja gondoskodik arról, hogy a tárgykört érintő új jogi szabályozás vagy módosítás megalkotása során, ennek hiányában e célból kiadott jogszabály keretében</w:t>
      </w:r>
    </w:p>
    <w:p w:rsidR="00B10329" w:rsidRPr="00C85D31" w:rsidRDefault="00B10329" w:rsidP="00B10329">
      <w:pPr>
        <w:shd w:val="clear" w:color="auto" w:fill="FFFFFF"/>
        <w:ind w:firstLine="240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i/>
          <w:iCs/>
          <w:sz w:val="22"/>
          <w:lang w:eastAsia="hu-HU"/>
        </w:rPr>
        <w:t>a</w:t>
      </w:r>
      <w:proofErr w:type="gramEnd"/>
      <w:r w:rsidRPr="00C85D31">
        <w:rPr>
          <w:rFonts w:eastAsia="Times New Roman" w:cs="Times New Roman"/>
          <w:i/>
          <w:iCs/>
          <w:sz w:val="22"/>
          <w:lang w:eastAsia="hu-HU"/>
        </w:rPr>
        <w:t>) </w:t>
      </w:r>
      <w:r w:rsidRPr="00C85D31">
        <w:rPr>
          <w:rFonts w:eastAsia="Times New Roman" w:cs="Times New Roman"/>
          <w:sz w:val="22"/>
          <w:lang w:eastAsia="hu-HU"/>
        </w:rPr>
        <w:t>az elavult, szükségtelenné vált,</w:t>
      </w:r>
    </w:p>
    <w:p w:rsidR="00B10329" w:rsidRPr="00C85D31" w:rsidRDefault="00B10329" w:rsidP="00B10329">
      <w:pPr>
        <w:shd w:val="clear" w:color="auto" w:fill="FFFFFF"/>
        <w:ind w:firstLine="240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b) </w:t>
      </w:r>
      <w:r w:rsidRPr="00C85D31">
        <w:rPr>
          <w:rFonts w:eastAsia="Times New Roman" w:cs="Times New Roman"/>
          <w:sz w:val="22"/>
          <w:lang w:eastAsia="hu-HU"/>
        </w:rPr>
        <w:t>a jogrendszer egységébe nem illeszkedő,</w:t>
      </w:r>
    </w:p>
    <w:p w:rsidR="00B10329" w:rsidRPr="00C85D31" w:rsidRDefault="00B10329" w:rsidP="00B10329">
      <w:pPr>
        <w:shd w:val="clear" w:color="auto" w:fill="FFFFFF"/>
        <w:ind w:firstLine="240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c) </w:t>
      </w:r>
      <w:r w:rsidRPr="00C85D31">
        <w:rPr>
          <w:rFonts w:eastAsia="Times New Roman" w:cs="Times New Roman"/>
          <w:sz w:val="22"/>
          <w:lang w:eastAsia="hu-HU"/>
        </w:rPr>
        <w:t>a szabályozási cél sérelme nélkül egyszerűsíthető, a jogszabály címzettjei számára gyorsabb, kevésbé költséges eljárásokat eredményező szabályozással felváltható,</w:t>
      </w:r>
    </w:p>
    <w:p w:rsidR="00B10329" w:rsidRPr="00C85D31" w:rsidRDefault="00B10329" w:rsidP="00B10329">
      <w:pPr>
        <w:shd w:val="clear" w:color="auto" w:fill="FFFFFF"/>
        <w:ind w:firstLine="240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d) </w:t>
      </w:r>
      <w:r w:rsidRPr="00C85D31">
        <w:rPr>
          <w:rFonts w:eastAsia="Times New Roman" w:cs="Times New Roman"/>
          <w:sz w:val="22"/>
          <w:lang w:eastAsia="hu-HU"/>
        </w:rPr>
        <w:t>a normatív tartalom nélküli, tartalmilag kiüresedett vagy egyébként alkalmazhatatlan, vagy</w:t>
      </w:r>
    </w:p>
    <w:p w:rsidR="00B10329" w:rsidRPr="00C85D31" w:rsidRDefault="00B10329" w:rsidP="00B10329">
      <w:pPr>
        <w:shd w:val="clear" w:color="auto" w:fill="FFFFFF"/>
        <w:ind w:firstLine="240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i/>
          <w:iCs/>
          <w:sz w:val="22"/>
          <w:lang w:eastAsia="hu-HU"/>
        </w:rPr>
        <w:t>e</w:t>
      </w:r>
      <w:proofErr w:type="gramEnd"/>
      <w:r w:rsidRPr="00C85D31">
        <w:rPr>
          <w:rFonts w:eastAsia="Times New Roman" w:cs="Times New Roman"/>
          <w:i/>
          <w:iCs/>
          <w:sz w:val="22"/>
          <w:lang w:eastAsia="hu-HU"/>
        </w:rPr>
        <w:t>) </w:t>
      </w:r>
      <w:r w:rsidRPr="00C85D31">
        <w:rPr>
          <w:rFonts w:eastAsia="Times New Roman" w:cs="Times New Roman"/>
          <w:sz w:val="22"/>
          <w:lang w:eastAsia="hu-HU"/>
        </w:rPr>
        <w:t>az indokolatlanul párhuzamos vagy többszintű szabályozást megvalósító,</w:t>
      </w:r>
    </w:p>
    <w:p w:rsidR="00B10329" w:rsidRPr="00C85D31" w:rsidRDefault="00B10329" w:rsidP="00115CF0">
      <w:pPr>
        <w:shd w:val="clear" w:color="auto" w:fill="FFFFFF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sz w:val="22"/>
          <w:lang w:eastAsia="hu-HU"/>
        </w:rPr>
        <w:t>a</w:t>
      </w:r>
      <w:proofErr w:type="gramEnd"/>
      <w:r w:rsidRPr="00C85D31">
        <w:rPr>
          <w:rFonts w:eastAsia="Times New Roman" w:cs="Times New Roman"/>
          <w:sz w:val="22"/>
          <w:lang w:eastAsia="hu-HU"/>
        </w:rPr>
        <w:t xml:space="preserve"> feladatkörébe tartozó jogszabályi rendelkezések hatályon kívül helyezésére, illetve megfelelő módosítására kerüljön sor.</w:t>
      </w:r>
    </w:p>
    <w:p w:rsidR="00B10329" w:rsidRPr="00C85D31" w:rsidRDefault="00115CF0" w:rsidP="00115CF0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A</w:t>
      </w:r>
      <w:r w:rsidR="00B10329" w:rsidRPr="00C85D31">
        <w:rPr>
          <w:rFonts w:eastAsia="Times New Roman" w:cs="Times New Roman"/>
          <w:sz w:val="22"/>
          <w:lang w:eastAsia="hu-HU"/>
        </w:rPr>
        <w:t xml:space="preserve"> felülvizsgálat lefolytatásáról az általa alkotott rendelet esetén a Magyar Nemzeti Bank elnöke, az önálló szabályozó szerv vezetője, az önkormányzati rendelet esetén a jegyző gondoskodik.</w:t>
      </w:r>
    </w:p>
    <w:p w:rsidR="00B10329" w:rsidRPr="00C85D31" w:rsidRDefault="00B10329" w:rsidP="00B10329">
      <w:pPr>
        <w:pStyle w:val="Stlus"/>
        <w:jc w:val="both"/>
        <w:rPr>
          <w:bCs/>
          <w:sz w:val="22"/>
          <w:szCs w:val="22"/>
        </w:rPr>
      </w:pPr>
    </w:p>
    <w:p w:rsidR="00484D81" w:rsidRPr="00C85D31" w:rsidRDefault="00484D81" w:rsidP="00B10329">
      <w:pPr>
        <w:pStyle w:val="Stlus"/>
        <w:jc w:val="both"/>
        <w:rPr>
          <w:bCs/>
          <w:sz w:val="22"/>
          <w:szCs w:val="22"/>
        </w:rPr>
      </w:pPr>
      <w:r w:rsidRPr="00C85D31">
        <w:rPr>
          <w:bCs/>
          <w:sz w:val="22"/>
          <w:szCs w:val="22"/>
        </w:rPr>
        <w:t xml:space="preserve">Az előterjesztésnek, illetve a vizsgálatnak nem tárgya az adott év költségvetéséről, valamint a zárszámadásról szóló önkormányzati rendeletek, tekintettel arra, hogy a zárszámadás egyben az előző évi költségvetés „utólagos hatásvizsgálatának” is minősíthető. </w:t>
      </w:r>
    </w:p>
    <w:p w:rsidR="00484D81" w:rsidRPr="00C85D31" w:rsidRDefault="00484D81" w:rsidP="00B10329">
      <w:pPr>
        <w:pStyle w:val="Stlus"/>
        <w:jc w:val="both"/>
        <w:rPr>
          <w:bCs/>
          <w:sz w:val="22"/>
          <w:szCs w:val="22"/>
        </w:rPr>
      </w:pPr>
    </w:p>
    <w:p w:rsidR="00484D81" w:rsidRPr="00C85D31" w:rsidRDefault="00484D81" w:rsidP="00B10329">
      <w:pPr>
        <w:pStyle w:val="Stlus"/>
        <w:jc w:val="both"/>
        <w:rPr>
          <w:bCs/>
          <w:sz w:val="22"/>
          <w:szCs w:val="22"/>
        </w:rPr>
      </w:pPr>
      <w:r w:rsidRPr="00C85D31">
        <w:rPr>
          <w:bCs/>
          <w:sz w:val="22"/>
          <w:szCs w:val="22"/>
        </w:rPr>
        <w:t>Mindezek alapján</w:t>
      </w:r>
      <w:r w:rsidR="00536CEE" w:rsidRPr="00C85D31">
        <w:rPr>
          <w:bCs/>
          <w:sz w:val="22"/>
          <w:szCs w:val="22"/>
        </w:rPr>
        <w:t xml:space="preserve"> a képviselő-testület által 202</w:t>
      </w:r>
      <w:r w:rsidR="00D5396B" w:rsidRPr="00C85D31">
        <w:rPr>
          <w:bCs/>
          <w:sz w:val="22"/>
          <w:szCs w:val="22"/>
        </w:rPr>
        <w:t>3 - 2024</w:t>
      </w:r>
      <w:r w:rsidRPr="00C85D31">
        <w:rPr>
          <w:bCs/>
          <w:sz w:val="22"/>
          <w:szCs w:val="22"/>
        </w:rPr>
        <w:t>. év</w:t>
      </w:r>
      <w:r w:rsidR="00536CEE" w:rsidRPr="00C85D31">
        <w:rPr>
          <w:bCs/>
          <w:sz w:val="22"/>
          <w:szCs w:val="22"/>
        </w:rPr>
        <w:t>ek</w:t>
      </w:r>
      <w:r w:rsidRPr="00C85D31">
        <w:rPr>
          <w:bCs/>
          <w:sz w:val="22"/>
          <w:szCs w:val="22"/>
        </w:rPr>
        <w:t>ben elfogadott önkormányzati rendeletek utól</w:t>
      </w:r>
      <w:r w:rsidR="003448C0" w:rsidRPr="00C85D31">
        <w:rPr>
          <w:bCs/>
          <w:sz w:val="22"/>
          <w:szCs w:val="22"/>
        </w:rPr>
        <w:t>agos hatásvizsgálatát az alábbia</w:t>
      </w:r>
      <w:r w:rsidRPr="00C85D31">
        <w:rPr>
          <w:bCs/>
          <w:sz w:val="22"/>
          <w:szCs w:val="22"/>
        </w:rPr>
        <w:t>k szerint terjesztem elő. Kérem a T. Képvisel</w:t>
      </w:r>
      <w:r w:rsidR="003448C0" w:rsidRPr="00C85D31">
        <w:rPr>
          <w:bCs/>
          <w:sz w:val="22"/>
          <w:szCs w:val="22"/>
        </w:rPr>
        <w:t>ő-testületet, hogy a napirendet</w:t>
      </w:r>
      <w:r w:rsidRPr="00C85D31">
        <w:rPr>
          <w:bCs/>
          <w:sz w:val="22"/>
          <w:szCs w:val="22"/>
        </w:rPr>
        <w:t xml:space="preserve"> megtárgyalni és ez előterjesztést a határozati javaslat szerint elfogadni szíveskedjenek.</w:t>
      </w:r>
    </w:p>
    <w:p w:rsidR="003448C0" w:rsidRPr="00C85D31" w:rsidRDefault="003448C0" w:rsidP="00B10329">
      <w:pPr>
        <w:pStyle w:val="Stlus"/>
        <w:jc w:val="both"/>
        <w:rPr>
          <w:b/>
          <w:bCs/>
          <w:sz w:val="22"/>
          <w:szCs w:val="22"/>
        </w:rPr>
      </w:pPr>
    </w:p>
    <w:p w:rsidR="003448C0" w:rsidRPr="00C85D31" w:rsidRDefault="00D5396B" w:rsidP="003448C0">
      <w:pPr>
        <w:pStyle w:val="Stlus"/>
        <w:jc w:val="center"/>
        <w:rPr>
          <w:b/>
          <w:bCs/>
          <w:sz w:val="22"/>
          <w:szCs w:val="22"/>
        </w:rPr>
      </w:pPr>
      <w:r w:rsidRPr="00C85D31">
        <w:rPr>
          <w:b/>
          <w:bCs/>
          <w:sz w:val="22"/>
          <w:szCs w:val="22"/>
        </w:rPr>
        <w:t>2023</w:t>
      </w:r>
      <w:r w:rsidR="003448C0" w:rsidRPr="00C85D31">
        <w:rPr>
          <w:b/>
          <w:bCs/>
          <w:sz w:val="22"/>
          <w:szCs w:val="22"/>
        </w:rPr>
        <w:t>. évi önkormányzati rendeletek vizsgálata.</w:t>
      </w:r>
    </w:p>
    <w:p w:rsidR="00321B7E" w:rsidRPr="00C85D31" w:rsidRDefault="00321B7E" w:rsidP="00321B7E">
      <w:pPr>
        <w:pStyle w:val="Cmsor2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3448C0" w:rsidRPr="00C85D31" w:rsidRDefault="003448C0" w:rsidP="00321B7E">
      <w:pPr>
        <w:pStyle w:val="Cmsor2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1./ </w:t>
      </w:r>
      <w:r w:rsidR="00D5396B"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A képviselő-testületi tagok, bizottsági elnökök és bizottsági tagok, valamint a bizottságok nem képviselő-testületi tagjainak tiszteletdíjáról és természetbeni juttatásairól szóló 3/2023.(II.28</w:t>
      </w:r>
      <w:r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.) önkormányzati rendele</w:t>
      </w:r>
      <w:r w:rsidR="00CC7C2F"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t</w:t>
      </w:r>
      <w:r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:</w:t>
      </w:r>
    </w:p>
    <w:p w:rsidR="00BC33A2" w:rsidRPr="00C85D31" w:rsidRDefault="00BC33A2" w:rsidP="003448C0">
      <w:pPr>
        <w:pStyle w:val="Stlus"/>
        <w:jc w:val="both"/>
        <w:rPr>
          <w:b/>
          <w:bCs/>
          <w:sz w:val="22"/>
          <w:szCs w:val="22"/>
        </w:rPr>
      </w:pPr>
    </w:p>
    <w:p w:rsidR="009A7DD7" w:rsidRPr="00C85D31" w:rsidRDefault="00CC7C2F" w:rsidP="003448C0">
      <w:pPr>
        <w:pStyle w:val="Stlus"/>
        <w:jc w:val="both"/>
        <w:rPr>
          <w:b/>
          <w:bCs/>
          <w:i/>
          <w:sz w:val="22"/>
          <w:szCs w:val="22"/>
        </w:rPr>
      </w:pPr>
      <w:r w:rsidRPr="00C85D31">
        <w:rPr>
          <w:b/>
          <w:bCs/>
          <w:i/>
          <w:sz w:val="22"/>
          <w:szCs w:val="22"/>
        </w:rPr>
        <w:t xml:space="preserve">A rendelet </w:t>
      </w:r>
      <w:r w:rsidR="003448C0" w:rsidRPr="00C85D31">
        <w:rPr>
          <w:b/>
          <w:bCs/>
          <w:i/>
          <w:sz w:val="22"/>
          <w:szCs w:val="22"/>
        </w:rPr>
        <w:t>főbb elemei:</w:t>
      </w:r>
    </w:p>
    <w:p w:rsidR="00D5396B" w:rsidRPr="00C85D31" w:rsidRDefault="00D5396B" w:rsidP="00D5396B">
      <w:pPr>
        <w:shd w:val="clear" w:color="auto" w:fill="FFFFFF"/>
        <w:rPr>
          <w:rFonts w:cs="Times New Roman"/>
          <w:sz w:val="22"/>
        </w:rPr>
      </w:pPr>
      <w:r w:rsidRPr="00C85D31">
        <w:rPr>
          <w:rStyle w:val="szakasz-jel"/>
          <w:rFonts w:cs="Times New Roman"/>
          <w:b/>
          <w:bCs/>
          <w:sz w:val="22"/>
        </w:rPr>
        <w:t xml:space="preserve">- </w:t>
      </w:r>
      <w:r w:rsidRPr="00C85D31">
        <w:rPr>
          <w:rFonts w:cs="Times New Roman"/>
          <w:sz w:val="22"/>
        </w:rPr>
        <w:t>A rendelet hatálya Berzence Nagyközség Önkormányzat Képviselő-testületére, bizottsági elnökeire, bizottsági tagjaira, valamint bizottságok nem képviselő-testületi tagjaira (a továbbiakban együtt képviselők) terjed ki.</w:t>
      </w:r>
    </w:p>
    <w:p w:rsidR="00D5396B" w:rsidRPr="00C85D31" w:rsidRDefault="00D5396B" w:rsidP="00D5396B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85D31">
        <w:rPr>
          <w:rStyle w:val="jel"/>
          <w:sz w:val="22"/>
          <w:szCs w:val="22"/>
        </w:rPr>
        <w:t xml:space="preserve">- </w:t>
      </w:r>
      <w:r w:rsidRPr="00C85D31">
        <w:rPr>
          <w:sz w:val="22"/>
          <w:szCs w:val="22"/>
        </w:rPr>
        <w:t>A rendelet hatálya nem terjed ki a polgármesterre és az alpolgármesterre.</w:t>
      </w:r>
    </w:p>
    <w:p w:rsidR="00D5396B" w:rsidRPr="00C85D31" w:rsidRDefault="00D5396B" w:rsidP="00D5396B">
      <w:pPr>
        <w:shd w:val="clear" w:color="auto" w:fill="FFFFFF"/>
        <w:rPr>
          <w:rFonts w:cs="Times New Roman"/>
          <w:sz w:val="22"/>
        </w:rPr>
      </w:pPr>
      <w:r w:rsidRPr="00C85D31">
        <w:rPr>
          <w:rStyle w:val="szakasz-jel"/>
          <w:rFonts w:cs="Times New Roman"/>
          <w:b/>
          <w:bCs/>
          <w:sz w:val="22"/>
        </w:rPr>
        <w:t xml:space="preserve">- </w:t>
      </w:r>
      <w:r w:rsidRPr="00C85D31">
        <w:rPr>
          <w:rFonts w:cs="Times New Roman"/>
          <w:sz w:val="22"/>
        </w:rPr>
        <w:t>A Képviselő-testület a képviselők részére tiszteletdíjat és költségtérítést állapít meg.</w:t>
      </w:r>
    </w:p>
    <w:p w:rsidR="00D5396B" w:rsidRPr="00C85D31" w:rsidRDefault="00D5396B" w:rsidP="00D5396B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85D31">
        <w:rPr>
          <w:rStyle w:val="jel"/>
          <w:sz w:val="22"/>
          <w:szCs w:val="22"/>
        </w:rPr>
        <w:t xml:space="preserve">- </w:t>
      </w:r>
      <w:r w:rsidRPr="00C85D31">
        <w:rPr>
          <w:sz w:val="22"/>
          <w:szCs w:val="22"/>
        </w:rPr>
        <w:t>A képviselők a rendelet szerinti juttatásokra a rendelet hatályba lépésétől, amennyiben megbízatásuk ezt követően keletkezett, megbízatásuk napjától, annak megszűnéséig jogosultak.</w:t>
      </w:r>
    </w:p>
    <w:p w:rsidR="00D5396B" w:rsidRPr="00C85D31" w:rsidRDefault="00D5396B" w:rsidP="00CC7C2F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- A Képviselő-testület a rendelet alapján a képviselők részére tiszteletdíjat állapított meg.</w:t>
      </w:r>
    </w:p>
    <w:p w:rsidR="00D5396B" w:rsidRPr="00C85D31" w:rsidRDefault="00D5396B" w:rsidP="00CC7C2F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- A képviselők a rendeletben foglaltak szerint tiszteletdíjukról lemondhatnak.</w:t>
      </w:r>
    </w:p>
    <w:p w:rsidR="00D5396B" w:rsidRPr="00C85D31" w:rsidRDefault="00535A2E" w:rsidP="00535A2E">
      <w:pPr>
        <w:shd w:val="clear" w:color="auto" w:fill="FFFFFF"/>
        <w:rPr>
          <w:rFonts w:cs="Times New Roman"/>
          <w:sz w:val="22"/>
        </w:rPr>
      </w:pPr>
      <w:r w:rsidRPr="00C85D31">
        <w:rPr>
          <w:rFonts w:cs="Times New Roman"/>
          <w:sz w:val="22"/>
        </w:rPr>
        <w:t xml:space="preserve">- A képviselő az </w:t>
      </w:r>
      <w:r w:rsidR="00D5396B" w:rsidRPr="00C85D31">
        <w:rPr>
          <w:rFonts w:cs="Times New Roman"/>
          <w:sz w:val="22"/>
        </w:rPr>
        <w:t>ülésről történő távolmaradást az ülést megelőző 24 órával telefonon vagy személyesen köteles bejelenteni a Polgármesternél vagy, a bizottsá</w:t>
      </w:r>
      <w:r w:rsidRPr="00C85D31">
        <w:rPr>
          <w:rFonts w:cs="Times New Roman"/>
          <w:sz w:val="22"/>
        </w:rPr>
        <w:t>g elnökénél</w:t>
      </w:r>
      <w:r w:rsidR="00D5396B" w:rsidRPr="00C85D31">
        <w:rPr>
          <w:rFonts w:cs="Times New Roman"/>
          <w:sz w:val="22"/>
        </w:rPr>
        <w:t>.</w:t>
      </w:r>
    </w:p>
    <w:p w:rsidR="00D5396B" w:rsidRPr="00C85D31" w:rsidRDefault="00535A2E" w:rsidP="00535A2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85D31">
        <w:rPr>
          <w:rStyle w:val="jel"/>
          <w:sz w:val="22"/>
          <w:szCs w:val="22"/>
        </w:rPr>
        <w:t xml:space="preserve">- </w:t>
      </w:r>
      <w:r w:rsidR="00D5396B" w:rsidRPr="00C85D31">
        <w:rPr>
          <w:sz w:val="22"/>
          <w:szCs w:val="22"/>
        </w:rPr>
        <w:t xml:space="preserve">A havi tiszteletdíjat mérsékelni kell </w:t>
      </w:r>
      <w:r w:rsidRPr="00C85D31">
        <w:rPr>
          <w:sz w:val="22"/>
          <w:szCs w:val="22"/>
        </w:rPr>
        <w:t xml:space="preserve">a rendeletben meghatározott mértékben </w:t>
      </w:r>
      <w:r w:rsidR="00D5396B" w:rsidRPr="00C85D31">
        <w:rPr>
          <w:sz w:val="22"/>
          <w:szCs w:val="22"/>
        </w:rPr>
        <w:t>annál a képviselőnél és bizottsági tagnál, aki részben vagy egészben távol marad a képviselő-testületi, vagy a bizottsági döntéshozataltól, a távolma</w:t>
      </w:r>
      <w:r w:rsidRPr="00C85D31">
        <w:rPr>
          <w:sz w:val="22"/>
          <w:szCs w:val="22"/>
        </w:rPr>
        <w:t>radását pedig</w:t>
      </w:r>
      <w:r w:rsidR="00D5396B" w:rsidRPr="00C85D31">
        <w:rPr>
          <w:sz w:val="22"/>
          <w:szCs w:val="22"/>
        </w:rPr>
        <w:t xml:space="preserve"> nem igazolja.</w:t>
      </w:r>
    </w:p>
    <w:p w:rsidR="003448C0" w:rsidRPr="00C85D31" w:rsidRDefault="003448C0" w:rsidP="003448C0">
      <w:pPr>
        <w:suppressAutoHyphens/>
        <w:rPr>
          <w:rFonts w:cs="Times New Roman"/>
          <w:sz w:val="22"/>
        </w:rPr>
      </w:pPr>
    </w:p>
    <w:p w:rsidR="00A63A1D" w:rsidRPr="00C85D31" w:rsidRDefault="00A63A1D" w:rsidP="003448C0">
      <w:pPr>
        <w:suppressAutoHyphens/>
        <w:rPr>
          <w:rFonts w:cs="Times New Roman"/>
          <w:sz w:val="22"/>
        </w:rPr>
      </w:pPr>
      <w:r w:rsidRPr="00C85D31">
        <w:rPr>
          <w:rFonts w:cs="Times New Roman"/>
          <w:sz w:val="22"/>
        </w:rPr>
        <w:t>A rendelet teljes szövege megtalálható</w:t>
      </w:r>
      <w:r w:rsidR="00535A2E" w:rsidRPr="00C85D31">
        <w:rPr>
          <w:rFonts w:cs="Times New Roman"/>
          <w:sz w:val="22"/>
        </w:rPr>
        <w:t xml:space="preserve"> a</w:t>
      </w:r>
      <w:r w:rsidRPr="00C85D31">
        <w:rPr>
          <w:rFonts w:cs="Times New Roman"/>
          <w:sz w:val="22"/>
        </w:rPr>
        <w:t xml:space="preserve"> </w:t>
      </w:r>
      <w:hyperlink r:id="rId7" w:history="1">
        <w:r w:rsidR="00535A2E" w:rsidRPr="00C85D31">
          <w:rPr>
            <w:rStyle w:val="Hiperhivatkozs"/>
            <w:rFonts w:cs="Times New Roman"/>
            <w:color w:val="auto"/>
            <w:sz w:val="22"/>
          </w:rPr>
          <w:t>https://or.njt.hu/eli/731629/r/2023/3/alaprendelet</w:t>
        </w:r>
      </w:hyperlink>
      <w:r w:rsidR="00321B7E" w:rsidRPr="00C85D31">
        <w:rPr>
          <w:rFonts w:cs="Times New Roman"/>
          <w:sz w:val="22"/>
        </w:rPr>
        <w:t xml:space="preserve"> </w:t>
      </w:r>
      <w:proofErr w:type="gramStart"/>
      <w:r w:rsidR="00321B7E" w:rsidRPr="00C85D31">
        <w:rPr>
          <w:rFonts w:cs="Times New Roman"/>
          <w:sz w:val="22"/>
        </w:rPr>
        <w:t>linken</w:t>
      </w:r>
      <w:proofErr w:type="gramEnd"/>
      <w:r w:rsidR="00535A2E" w:rsidRPr="00C85D31">
        <w:rPr>
          <w:rFonts w:cs="Times New Roman"/>
          <w:sz w:val="22"/>
        </w:rPr>
        <w:t>.</w:t>
      </w:r>
    </w:p>
    <w:p w:rsidR="00A63A1D" w:rsidRPr="00C85D31" w:rsidRDefault="00A63A1D" w:rsidP="003448C0">
      <w:pPr>
        <w:suppressAutoHyphens/>
        <w:rPr>
          <w:rFonts w:cs="Times New Roman"/>
          <w:sz w:val="22"/>
        </w:rPr>
      </w:pPr>
    </w:p>
    <w:p w:rsidR="003448C0" w:rsidRPr="00C85D31" w:rsidRDefault="003448C0" w:rsidP="003448C0">
      <w:pPr>
        <w:suppressAutoHyphens/>
        <w:rPr>
          <w:rFonts w:cs="Times New Roman"/>
          <w:b/>
          <w:i/>
          <w:sz w:val="22"/>
        </w:rPr>
      </w:pPr>
      <w:r w:rsidRPr="00C85D31">
        <w:rPr>
          <w:rFonts w:cs="Times New Roman"/>
          <w:b/>
          <w:i/>
          <w:sz w:val="22"/>
        </w:rPr>
        <w:t>Az előzetes hatásvizsgálat eredménye az alábbi volt:</w:t>
      </w:r>
    </w:p>
    <w:p w:rsidR="003448C0" w:rsidRPr="00C85D31" w:rsidRDefault="003448C0" w:rsidP="009A7DD7">
      <w:pPr>
        <w:pStyle w:val="Cmsor11"/>
        <w:keepNext w:val="0"/>
        <w:spacing w:before="0" w:after="0"/>
        <w:jc w:val="both"/>
        <w:outlineLvl w:val="9"/>
        <w:rPr>
          <w:rFonts w:ascii="Times New Roman" w:hAnsi="Times New Roman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9A7DD7" w:rsidRPr="00C85D31" w:rsidTr="00754BC0">
        <w:tc>
          <w:tcPr>
            <w:tcW w:w="9212" w:type="dxa"/>
            <w:gridSpan w:val="2"/>
          </w:tcPr>
          <w:p w:rsidR="009A7DD7" w:rsidRPr="00C85D31" w:rsidRDefault="00BB4D12" w:rsidP="009A7D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E</w:t>
            </w:r>
            <w:r w:rsidR="009A7DD7" w:rsidRPr="00C85D31">
              <w:rPr>
                <w:rFonts w:cs="Times New Roman"/>
                <w:b/>
                <w:sz w:val="22"/>
              </w:rPr>
              <w:t>lőzetes hatásvizsgálat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9A7DD7" w:rsidP="00754BC0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Vizsgálati szempontok</w:t>
            </w:r>
          </w:p>
        </w:tc>
        <w:tc>
          <w:tcPr>
            <w:tcW w:w="4606" w:type="dxa"/>
          </w:tcPr>
          <w:p w:rsidR="009A7DD7" w:rsidRPr="00C85D31" w:rsidRDefault="00D73D26" w:rsidP="009A7DD7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</w:t>
            </w:r>
            <w:r w:rsidR="009A7DD7" w:rsidRPr="00C85D31">
              <w:rPr>
                <w:rFonts w:cs="Times New Roman"/>
                <w:sz w:val="22"/>
              </w:rPr>
              <w:t>lőzetes vizsgálat eredménye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9A7DD7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Társadalmi, gazdasági kihatás</w:t>
            </w:r>
          </w:p>
        </w:tc>
        <w:tc>
          <w:tcPr>
            <w:tcW w:w="4606" w:type="dxa"/>
          </w:tcPr>
          <w:p w:rsidR="00535A2E" w:rsidRPr="00C85D31" w:rsidRDefault="00535A2E" w:rsidP="00535A2E">
            <w:pPr>
              <w:autoSpaceDE w:val="0"/>
              <w:rPr>
                <w:sz w:val="22"/>
              </w:rPr>
            </w:pPr>
            <w:r w:rsidRPr="00C85D31">
              <w:rPr>
                <w:sz w:val="22"/>
              </w:rPr>
              <w:t>Társadalmi hatása: a képviselő-testület tagjai és a bizottsági tagok a törvényben meghatározott keretek között részesülnek tiszteletdíjban, így a társadalmi hatásban változás nem várható.</w:t>
            </w:r>
          </w:p>
          <w:p w:rsidR="009A7DD7" w:rsidRPr="00C85D31" w:rsidRDefault="00535A2E" w:rsidP="00535A2E">
            <w:pPr>
              <w:autoSpaceDE w:val="0"/>
              <w:rPr>
                <w:b/>
                <w:bCs/>
                <w:sz w:val="22"/>
              </w:rPr>
            </w:pPr>
            <w:r w:rsidRPr="00C85D31">
              <w:rPr>
                <w:sz w:val="22"/>
              </w:rPr>
              <w:t>Gazdasági hatása: nincs.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9A7DD7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Költségvetési kihatás</w:t>
            </w:r>
          </w:p>
        </w:tc>
        <w:tc>
          <w:tcPr>
            <w:tcW w:w="4606" w:type="dxa"/>
          </w:tcPr>
          <w:p w:rsidR="009A7DD7" w:rsidRPr="00C85D31" w:rsidRDefault="00535A2E" w:rsidP="00535A2E">
            <w:pPr>
              <w:autoSpaceDE w:val="0"/>
              <w:rPr>
                <w:b/>
                <w:bCs/>
                <w:sz w:val="22"/>
              </w:rPr>
            </w:pPr>
            <w:r w:rsidRPr="00C85D31">
              <w:rPr>
                <w:sz w:val="22"/>
              </w:rPr>
              <w:t xml:space="preserve">A tiszteletdíjak fedezete az önkormányzat költségvetésben biztosított. Az önkormányzat saját bevételei biztonságos alapot nyújtanak a tiszteletdíj összegének kifizetésére is. 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9A7DD7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Környezeti kihatás</w:t>
            </w:r>
          </w:p>
        </w:tc>
        <w:tc>
          <w:tcPr>
            <w:tcW w:w="4606" w:type="dxa"/>
          </w:tcPr>
          <w:p w:rsidR="009A7DD7" w:rsidRPr="00C85D31" w:rsidRDefault="009A7DD7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Nincs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BC6CB3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Egészségügyi következmények</w:t>
            </w:r>
          </w:p>
        </w:tc>
        <w:tc>
          <w:tcPr>
            <w:tcW w:w="4606" w:type="dxa"/>
          </w:tcPr>
          <w:p w:rsidR="009A7DD7" w:rsidRPr="00C85D31" w:rsidRDefault="00BC6CB3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Nincsenek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BC6CB3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Adminisztratív terheket befolyásoló hatásai</w:t>
            </w:r>
          </w:p>
        </w:tc>
        <w:tc>
          <w:tcPr>
            <w:tcW w:w="4606" w:type="dxa"/>
          </w:tcPr>
          <w:p w:rsidR="009A7DD7" w:rsidRPr="00C85D31" w:rsidRDefault="00535A2E" w:rsidP="00535782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N</w:t>
            </w:r>
            <w:r w:rsidR="00BC6CB3" w:rsidRPr="00C85D31">
              <w:rPr>
                <w:rFonts w:eastAsia="Calibri" w:cs="Times New Roman"/>
                <w:sz w:val="22"/>
              </w:rPr>
              <w:t xml:space="preserve">em jár az </w:t>
            </w:r>
            <w:proofErr w:type="gramStart"/>
            <w:r w:rsidR="00BC6CB3" w:rsidRPr="00C85D31">
              <w:rPr>
                <w:rFonts w:eastAsia="Calibri" w:cs="Times New Roman"/>
                <w:sz w:val="22"/>
              </w:rPr>
              <w:t>adminisztrációs</w:t>
            </w:r>
            <w:proofErr w:type="gramEnd"/>
            <w:r w:rsidR="00BC6CB3" w:rsidRPr="00C85D31">
              <w:rPr>
                <w:rFonts w:eastAsia="Calibri" w:cs="Times New Roman"/>
                <w:sz w:val="22"/>
              </w:rPr>
              <w:t xml:space="preserve"> terhek jelentős növekedésével.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BC6CB3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Megalkotásának szükségessége</w:t>
            </w:r>
          </w:p>
        </w:tc>
        <w:tc>
          <w:tcPr>
            <w:tcW w:w="4606" w:type="dxa"/>
          </w:tcPr>
          <w:p w:rsidR="009A7DD7" w:rsidRPr="00C85D31" w:rsidRDefault="00321B7E" w:rsidP="00321B7E">
            <w:pPr>
              <w:autoSpaceDE w:val="0"/>
              <w:rPr>
                <w:b/>
                <w:bCs/>
                <w:sz w:val="22"/>
              </w:rPr>
            </w:pPr>
            <w:r w:rsidRPr="00C85D31">
              <w:rPr>
                <w:sz w:val="22"/>
              </w:rPr>
              <w:t>Magyarország helyi önkormányzatairól szóló 2011. évi CLXXXIX. törvény 35. § (1) bekezdése alapján a képviselő-testület az önkormányzati képviselőnek, a bizottsági elnöknek, a bizottság tagjának, a tanácsnoknak rendeletében meghatározott tiszteletdíjat, természetbeni juttatást állapíthat meg.</w:t>
            </w:r>
          </w:p>
        </w:tc>
      </w:tr>
      <w:tr w:rsidR="00321B7E" w:rsidRPr="00C85D31" w:rsidTr="00754BC0">
        <w:tc>
          <w:tcPr>
            <w:tcW w:w="4606" w:type="dxa"/>
          </w:tcPr>
          <w:p w:rsidR="009A7DD7" w:rsidRPr="00C85D31" w:rsidRDefault="00BC6CB3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Megalkotása elmaradásának várható következményei</w:t>
            </w:r>
          </w:p>
        </w:tc>
        <w:tc>
          <w:tcPr>
            <w:tcW w:w="4606" w:type="dxa"/>
          </w:tcPr>
          <w:p w:rsidR="009A7DD7" w:rsidRPr="00C85D31" w:rsidRDefault="00321B7E" w:rsidP="00321B7E">
            <w:pPr>
              <w:rPr>
                <w:rFonts w:cs="Times New Roman"/>
                <w:sz w:val="22"/>
              </w:rPr>
            </w:pPr>
            <w:r w:rsidRPr="00C85D31">
              <w:rPr>
                <w:sz w:val="22"/>
              </w:rPr>
              <w:t xml:space="preserve">A képviselők és bizottsági tagok a feladataikat munkaidőben vagy pihenő időben látják el, mely bizonyos esetekben a munkától való távolléttel vagy egyéb jövedelemtermelő tevékenységeik elmaradásával járhat, mely tiszteletdíj hiányában nem kerül </w:t>
            </w:r>
            <w:proofErr w:type="gramStart"/>
            <w:r w:rsidRPr="00C85D31">
              <w:rPr>
                <w:sz w:val="22"/>
              </w:rPr>
              <w:t>kompenzálásra</w:t>
            </w:r>
            <w:proofErr w:type="gramEnd"/>
            <w:r w:rsidRPr="00C85D31">
              <w:rPr>
                <w:sz w:val="22"/>
              </w:rPr>
              <w:t>.</w:t>
            </w:r>
          </w:p>
        </w:tc>
      </w:tr>
      <w:tr w:rsidR="00321B7E" w:rsidRPr="00C85D31" w:rsidTr="00754BC0">
        <w:tc>
          <w:tcPr>
            <w:tcW w:w="4606" w:type="dxa"/>
          </w:tcPr>
          <w:p w:rsidR="00BC6CB3" w:rsidRPr="00C85D31" w:rsidRDefault="00BC6CB3" w:rsidP="00754B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Alkalmazásához szükséges személyi, szervezeti, tárgyi és pénzügyi feltételek</w:t>
            </w:r>
          </w:p>
        </w:tc>
        <w:tc>
          <w:tcPr>
            <w:tcW w:w="4606" w:type="dxa"/>
          </w:tcPr>
          <w:p w:rsidR="00BC6CB3" w:rsidRPr="00C85D31" w:rsidRDefault="00BC6CB3" w:rsidP="00BC6CB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Rendelkezésre állnak.</w:t>
            </w:r>
          </w:p>
          <w:p w:rsidR="00BC6CB3" w:rsidRPr="00C85D31" w:rsidRDefault="00BC6CB3" w:rsidP="00754BC0">
            <w:pPr>
              <w:rPr>
                <w:rFonts w:cs="Times New Roman"/>
                <w:sz w:val="22"/>
              </w:rPr>
            </w:pPr>
          </w:p>
        </w:tc>
      </w:tr>
    </w:tbl>
    <w:p w:rsidR="009A7DD7" w:rsidRPr="00C85D31" w:rsidRDefault="009A7DD7" w:rsidP="009A7DD7">
      <w:pPr>
        <w:pStyle w:val="Cmsor11"/>
        <w:keepNext w:val="0"/>
        <w:spacing w:before="0" w:after="0"/>
        <w:jc w:val="both"/>
        <w:outlineLvl w:val="9"/>
        <w:rPr>
          <w:rFonts w:ascii="Times New Roman" w:hAnsi="Times New Roman"/>
          <w:szCs w:val="22"/>
        </w:rPr>
      </w:pPr>
    </w:p>
    <w:p w:rsidR="009A7DD7" w:rsidRPr="00C85D31" w:rsidRDefault="009A7DD7" w:rsidP="003448C0">
      <w:pPr>
        <w:autoSpaceDE w:val="0"/>
        <w:autoSpaceDN w:val="0"/>
        <w:adjustRightInd w:val="0"/>
        <w:rPr>
          <w:rFonts w:cs="Times New Roman"/>
          <w:b/>
          <w:i/>
          <w:sz w:val="22"/>
        </w:rPr>
      </w:pPr>
      <w:r w:rsidRPr="00C85D31">
        <w:rPr>
          <w:rFonts w:cs="Times New Roman"/>
          <w:b/>
          <w:i/>
          <w:sz w:val="22"/>
        </w:rPr>
        <w:t>Az utólagos hatásvizsgálat eredménye az előzőekben megfogalmazott célok alapján:</w:t>
      </w:r>
    </w:p>
    <w:p w:rsidR="009A7DD7" w:rsidRPr="00C85D31" w:rsidRDefault="009A7DD7" w:rsidP="003448C0">
      <w:pPr>
        <w:autoSpaceDE w:val="0"/>
        <w:autoSpaceDN w:val="0"/>
        <w:adjustRightInd w:val="0"/>
        <w:rPr>
          <w:rFonts w:cs="Times New Roman"/>
          <w:i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9A7DD7" w:rsidRPr="00C85D31" w:rsidTr="009A7DD7">
        <w:tc>
          <w:tcPr>
            <w:tcW w:w="9212" w:type="dxa"/>
            <w:gridSpan w:val="2"/>
          </w:tcPr>
          <w:p w:rsidR="009A7DD7" w:rsidRPr="00C85D31" w:rsidRDefault="009A7DD7" w:rsidP="009A7D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Utólagos hatásvizsgálat eredménye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9A7DD7" w:rsidP="009A7DD7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Vizsgálati szempontok az előzetes hatásvizsgálat alapján</w:t>
            </w:r>
          </w:p>
        </w:tc>
        <w:tc>
          <w:tcPr>
            <w:tcW w:w="4606" w:type="dxa"/>
          </w:tcPr>
          <w:p w:rsidR="009A7DD7" w:rsidRPr="00C85D31" w:rsidRDefault="00D73D26" w:rsidP="009A7DD7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</w:t>
            </w:r>
            <w:r w:rsidR="009A7DD7" w:rsidRPr="00C85D31">
              <w:rPr>
                <w:rFonts w:cs="Times New Roman"/>
                <w:sz w:val="22"/>
              </w:rPr>
              <w:t>ltérések az előzetes vizsgálat eredményétől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9A7DD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Társadalmi, gazdasági kihatás</w:t>
            </w:r>
          </w:p>
        </w:tc>
        <w:tc>
          <w:tcPr>
            <w:tcW w:w="4606" w:type="dxa"/>
          </w:tcPr>
          <w:p w:rsidR="009A7DD7" w:rsidRPr="00C85D31" w:rsidRDefault="00BC6CB3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BC6CB3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Költségvetési kihatás</w:t>
            </w:r>
          </w:p>
        </w:tc>
        <w:tc>
          <w:tcPr>
            <w:tcW w:w="4606" w:type="dxa"/>
          </w:tcPr>
          <w:p w:rsidR="009A7DD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Környezeti kihatás</w:t>
            </w:r>
          </w:p>
        </w:tc>
        <w:tc>
          <w:tcPr>
            <w:tcW w:w="4606" w:type="dxa"/>
          </w:tcPr>
          <w:p w:rsidR="009A7DD7" w:rsidRPr="00C85D31" w:rsidRDefault="00D73D26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Egészségügyi következmények</w:t>
            </w:r>
          </w:p>
        </w:tc>
        <w:tc>
          <w:tcPr>
            <w:tcW w:w="4606" w:type="dxa"/>
          </w:tcPr>
          <w:p w:rsidR="009A7DD7" w:rsidRPr="00C85D31" w:rsidRDefault="00D73D26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Adminisztratív terheket befolyásoló hatásai</w:t>
            </w:r>
          </w:p>
        </w:tc>
        <w:tc>
          <w:tcPr>
            <w:tcW w:w="4606" w:type="dxa"/>
          </w:tcPr>
          <w:p w:rsidR="009A7DD7" w:rsidRPr="00C85D31" w:rsidRDefault="00321B7E" w:rsidP="00535782">
            <w:pPr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Megalkotásának szükségessége</w:t>
            </w:r>
          </w:p>
        </w:tc>
        <w:tc>
          <w:tcPr>
            <w:tcW w:w="4606" w:type="dxa"/>
          </w:tcPr>
          <w:p w:rsidR="009A7DD7" w:rsidRPr="00C85D31" w:rsidRDefault="001F7563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9A7DD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Megalkotása elmaradásának várható következményei</w:t>
            </w:r>
          </w:p>
        </w:tc>
        <w:tc>
          <w:tcPr>
            <w:tcW w:w="4606" w:type="dxa"/>
          </w:tcPr>
          <w:p w:rsidR="009A7DD7" w:rsidRPr="00C85D31" w:rsidRDefault="00D73D26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321B7E" w:rsidRPr="00C85D31" w:rsidTr="009A7DD7">
        <w:tc>
          <w:tcPr>
            <w:tcW w:w="4606" w:type="dxa"/>
          </w:tcPr>
          <w:p w:rsidR="00D53E17" w:rsidRPr="00C85D31" w:rsidRDefault="00D53E17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Alkalmazásához szükséges személyi, szervezeti, tárgyi és pénzügyi feltételek</w:t>
            </w:r>
          </w:p>
        </w:tc>
        <w:tc>
          <w:tcPr>
            <w:tcW w:w="4606" w:type="dxa"/>
          </w:tcPr>
          <w:p w:rsidR="00D53E17" w:rsidRPr="00C85D31" w:rsidRDefault="001F7563" w:rsidP="003448C0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</w:tbl>
    <w:p w:rsidR="00777583" w:rsidRPr="00C85D31" w:rsidRDefault="00777583" w:rsidP="00777583">
      <w:pPr>
        <w:pStyle w:val="Stlus"/>
        <w:jc w:val="both"/>
        <w:rPr>
          <w:rFonts w:eastAsiaTheme="minorHAnsi"/>
          <w:sz w:val="22"/>
          <w:szCs w:val="22"/>
          <w:lang w:eastAsia="en-US"/>
        </w:rPr>
      </w:pPr>
    </w:p>
    <w:p w:rsidR="00321B7E" w:rsidRPr="00C85D31" w:rsidRDefault="00321B7E" w:rsidP="00321B7E">
      <w:pPr>
        <w:pStyle w:val="Cmsor2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2./ A pénzben és természetben nyújtott szociális ellátásokról és a személyes gondoskodást nyújtó alapszolgáltatásokról szóló 4/2023.(II.28.) önkormányzati rendelet:</w:t>
      </w:r>
    </w:p>
    <w:p w:rsidR="006111AF" w:rsidRPr="00C85D31" w:rsidRDefault="006111AF" w:rsidP="00321B7E">
      <w:pPr>
        <w:pStyle w:val="Stlus"/>
        <w:jc w:val="both"/>
        <w:rPr>
          <w:bCs/>
          <w:sz w:val="22"/>
          <w:szCs w:val="22"/>
        </w:rPr>
      </w:pPr>
    </w:p>
    <w:p w:rsidR="006111AF" w:rsidRPr="00C85D31" w:rsidRDefault="006111AF" w:rsidP="006111AF">
      <w:pPr>
        <w:pStyle w:val="Stlus"/>
        <w:jc w:val="both"/>
        <w:rPr>
          <w:b/>
          <w:bCs/>
          <w:i/>
          <w:sz w:val="22"/>
          <w:szCs w:val="22"/>
        </w:rPr>
      </w:pPr>
      <w:r w:rsidRPr="00C85D31">
        <w:rPr>
          <w:b/>
          <w:bCs/>
          <w:i/>
          <w:sz w:val="22"/>
          <w:szCs w:val="22"/>
        </w:rPr>
        <w:t>A rendelet főbb elemei:</w:t>
      </w:r>
    </w:p>
    <w:p w:rsidR="00D73D26" w:rsidRPr="00C85D31" w:rsidRDefault="00D73D26" w:rsidP="00D73D26">
      <w:pPr>
        <w:pStyle w:val="Stlus"/>
        <w:jc w:val="both"/>
        <w:rPr>
          <w:bCs/>
          <w:sz w:val="22"/>
          <w:szCs w:val="22"/>
        </w:rPr>
      </w:pPr>
    </w:p>
    <w:p w:rsidR="006111AF" w:rsidRPr="00C85D31" w:rsidRDefault="006111AF" w:rsidP="006111AF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 xml:space="preserve">- A rendelet célja, hogy </w:t>
      </w:r>
      <w:r w:rsidR="00321B7E" w:rsidRPr="00C85D31">
        <w:rPr>
          <w:rFonts w:eastAsia="Times New Roman" w:cs="Times New Roman"/>
          <w:sz w:val="22"/>
          <w:lang w:eastAsia="hu-HU"/>
        </w:rPr>
        <w:t>Berzence Nagyk</w:t>
      </w:r>
      <w:r w:rsidRPr="00C85D31">
        <w:rPr>
          <w:rFonts w:eastAsia="Times New Roman" w:cs="Times New Roman"/>
          <w:sz w:val="22"/>
          <w:lang w:eastAsia="hu-HU"/>
        </w:rPr>
        <w:t>özség Önkormányzata eleget tegyen a szociális igazgatásról és szociális ellátásokról szóló </w:t>
      </w:r>
      <w:hyperlink r:id="rId8" w:tgtFrame="_blank" w:history="1">
        <w:r w:rsidRPr="00C85D31">
          <w:rPr>
            <w:rFonts w:eastAsia="Times New Roman" w:cs="Times New Roman"/>
            <w:sz w:val="22"/>
            <w:lang w:eastAsia="hu-HU"/>
          </w:rPr>
          <w:t xml:space="preserve">1993. évi III. törvény (a továbbiakban: </w:t>
        </w:r>
        <w:proofErr w:type="spellStart"/>
        <w:r w:rsidRPr="00C85D31">
          <w:rPr>
            <w:rFonts w:eastAsia="Times New Roman" w:cs="Times New Roman"/>
            <w:sz w:val="22"/>
            <w:lang w:eastAsia="hu-HU"/>
          </w:rPr>
          <w:t>Szoctv</w:t>
        </w:r>
        <w:proofErr w:type="spellEnd"/>
        <w:r w:rsidRPr="00C85D31">
          <w:rPr>
            <w:rFonts w:eastAsia="Times New Roman" w:cs="Times New Roman"/>
            <w:sz w:val="22"/>
            <w:lang w:eastAsia="hu-HU"/>
          </w:rPr>
          <w:t>.)</w:t>
        </w:r>
      </w:hyperlink>
      <w:r w:rsidRPr="00C85D31">
        <w:rPr>
          <w:rFonts w:eastAsia="Times New Roman" w:cs="Times New Roman"/>
          <w:sz w:val="22"/>
          <w:lang w:eastAsia="hu-HU"/>
        </w:rPr>
        <w:t> </w:t>
      </w:r>
      <w:proofErr w:type="gramStart"/>
      <w:r w:rsidRPr="00C85D31">
        <w:rPr>
          <w:rFonts w:eastAsia="Times New Roman" w:cs="Times New Roman"/>
          <w:sz w:val="22"/>
          <w:lang w:eastAsia="hu-HU"/>
        </w:rPr>
        <w:t>által</w:t>
      </w:r>
      <w:proofErr w:type="gramEnd"/>
      <w:r w:rsidRPr="00C85D31">
        <w:rPr>
          <w:rFonts w:eastAsia="Times New Roman" w:cs="Times New Roman"/>
          <w:sz w:val="22"/>
          <w:lang w:eastAsia="hu-HU"/>
        </w:rPr>
        <w:t xml:space="preserve"> előírt szabályozási kötelezettségének, a szociális ellátások formáinak, az ellátásokra való jogosultság feltételeinek, az eljárás és az ellenőrzés rendjének helyi szabályozásával.</w:t>
      </w:r>
    </w:p>
    <w:p w:rsidR="006111AF" w:rsidRPr="00C85D31" w:rsidRDefault="006111AF" w:rsidP="006111AF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- Az Önkormányzat által biztosított és megszervezet</w:t>
      </w:r>
      <w:r w:rsidR="00321B7E" w:rsidRPr="00C85D31">
        <w:rPr>
          <w:rFonts w:eastAsia="Times New Roman" w:cs="Times New Roman"/>
          <w:sz w:val="22"/>
          <w:lang w:eastAsia="hu-HU"/>
        </w:rPr>
        <w:t xml:space="preserve">t szociális </w:t>
      </w:r>
      <w:r w:rsidRPr="00C85D31">
        <w:rPr>
          <w:rFonts w:eastAsia="Times New Roman" w:cs="Times New Roman"/>
          <w:sz w:val="22"/>
          <w:lang w:eastAsia="hu-HU"/>
        </w:rPr>
        <w:t xml:space="preserve">gondoskodás célja és rendeltetése az, hogy segítséget nyújtson azoknak, akik életkoruk, egészségi állapotuk, jövedelmi és vagyoni helyzetük folytán </w:t>
      </w:r>
      <w:proofErr w:type="gramStart"/>
      <w:r w:rsidRPr="00C85D31">
        <w:rPr>
          <w:rFonts w:eastAsia="Times New Roman" w:cs="Times New Roman"/>
          <w:sz w:val="22"/>
          <w:lang w:eastAsia="hu-HU"/>
        </w:rPr>
        <w:t>problémáik</w:t>
      </w:r>
      <w:proofErr w:type="gramEnd"/>
      <w:r w:rsidRPr="00C85D31">
        <w:rPr>
          <w:rFonts w:eastAsia="Times New Roman" w:cs="Times New Roman"/>
          <w:sz w:val="22"/>
          <w:lang w:eastAsia="hu-HU"/>
        </w:rPr>
        <w:t xml:space="preserve"> megoldására önerőből nem képesek. Az ellátást igénylők kötelesek arra, hogy helyzetük javítása érdekében a tőlük elvárható módon mindent megtegyenek, amennyiben pedig a támogatásra szoruló élethelyzet nekik felróható okból következett be, életmódjuk, életvezetésük megváltoztatásával kötelesek elősegíteni helyzetük javítását.</w:t>
      </w:r>
    </w:p>
    <w:p w:rsidR="006111AF" w:rsidRPr="00C85D31" w:rsidRDefault="006111AF" w:rsidP="006111AF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 xml:space="preserve">- A szociális és személyes gondoskodás biztosítása érdekében </w:t>
      </w:r>
      <w:r w:rsidR="00321B7E" w:rsidRPr="00C85D31">
        <w:rPr>
          <w:rFonts w:eastAsia="Times New Roman" w:cs="Times New Roman"/>
          <w:sz w:val="22"/>
          <w:lang w:eastAsia="hu-HU"/>
        </w:rPr>
        <w:t>Berzence Nagyközség</w:t>
      </w:r>
      <w:r w:rsidRPr="00C85D31">
        <w:rPr>
          <w:rFonts w:eastAsia="Times New Roman" w:cs="Times New Roman"/>
          <w:sz w:val="22"/>
          <w:lang w:eastAsia="hu-HU"/>
        </w:rPr>
        <w:t xml:space="preserve"> Önkormányzat Képviselő-testülete, valamint annak szervei, továbbá a településen működő oktatási, egészségügyi és civil szervezetek kötelesek együttműködni, a tudomásukra jutott, gondoskodást igénylő </w:t>
      </w:r>
      <w:proofErr w:type="gramStart"/>
      <w:r w:rsidRPr="00C85D31">
        <w:rPr>
          <w:rFonts w:eastAsia="Times New Roman" w:cs="Times New Roman"/>
          <w:sz w:val="22"/>
          <w:lang w:eastAsia="hu-HU"/>
        </w:rPr>
        <w:t>problémák</w:t>
      </w:r>
      <w:proofErr w:type="gramEnd"/>
      <w:r w:rsidRPr="00C85D31">
        <w:rPr>
          <w:rFonts w:eastAsia="Times New Roman" w:cs="Times New Roman"/>
          <w:sz w:val="22"/>
          <w:lang w:eastAsia="hu-HU"/>
        </w:rPr>
        <w:t xml:space="preserve"> megoldását kötelesek kezdeményezni.</w:t>
      </w:r>
    </w:p>
    <w:p w:rsidR="006111AF" w:rsidRPr="00C85D31" w:rsidRDefault="006111AF" w:rsidP="006111AF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 xml:space="preserve">- A rendelet hatálya – amennyiben jogszabály vagy e rendelet másként nem rendelkezik </w:t>
      </w:r>
      <w:r w:rsidR="00E95663" w:rsidRPr="00C85D31">
        <w:rPr>
          <w:rFonts w:eastAsia="Times New Roman" w:cs="Times New Roman"/>
          <w:sz w:val="22"/>
          <w:lang w:eastAsia="hu-HU"/>
        </w:rPr>
        <w:t>–</w:t>
      </w:r>
      <w:r w:rsidRPr="00C85D31">
        <w:rPr>
          <w:rFonts w:eastAsia="Times New Roman" w:cs="Times New Roman"/>
          <w:sz w:val="22"/>
          <w:lang w:eastAsia="hu-HU"/>
        </w:rPr>
        <w:t xml:space="preserve"> </w:t>
      </w:r>
      <w:r w:rsidR="00E95663" w:rsidRPr="00C85D31">
        <w:rPr>
          <w:rFonts w:eastAsia="Times New Roman" w:cs="Times New Roman"/>
          <w:sz w:val="22"/>
          <w:lang w:eastAsia="hu-HU"/>
        </w:rPr>
        <w:t>Berzence nagyközség</w:t>
      </w:r>
      <w:r w:rsidRPr="00C85D31">
        <w:rPr>
          <w:rFonts w:eastAsia="Times New Roman" w:cs="Times New Roman"/>
          <w:sz w:val="22"/>
          <w:lang w:eastAsia="hu-HU"/>
        </w:rPr>
        <w:t xml:space="preserve"> közigazgatási területén lakcímmel rendelkező </w:t>
      </w:r>
      <w:proofErr w:type="spellStart"/>
      <w:r w:rsidR="0067656E" w:rsidRPr="00C85D31">
        <w:rPr>
          <w:rFonts w:cs="Times New Roman"/>
          <w:sz w:val="22"/>
        </w:rPr>
        <w:fldChar w:fldCharType="begin"/>
      </w:r>
      <w:r w:rsidRPr="00C85D31">
        <w:rPr>
          <w:rFonts w:cs="Times New Roman"/>
          <w:sz w:val="22"/>
        </w:rPr>
        <w:instrText xml:space="preserve"> HYPERLINK "https://njt.hu/jogszabaly/1993-3-00-00" \t "_blank" </w:instrText>
      </w:r>
      <w:r w:rsidR="0067656E" w:rsidRPr="00C85D31">
        <w:rPr>
          <w:rFonts w:cs="Times New Roman"/>
          <w:sz w:val="22"/>
        </w:rPr>
        <w:fldChar w:fldCharType="separate"/>
      </w:r>
      <w:r w:rsidRPr="00C85D31">
        <w:rPr>
          <w:rFonts w:eastAsia="Times New Roman" w:cs="Times New Roman"/>
          <w:sz w:val="22"/>
          <w:lang w:eastAsia="hu-HU"/>
        </w:rPr>
        <w:t>Szoctv</w:t>
      </w:r>
      <w:proofErr w:type="spellEnd"/>
      <w:r w:rsidRPr="00C85D31">
        <w:rPr>
          <w:rFonts w:eastAsia="Times New Roman" w:cs="Times New Roman"/>
          <w:sz w:val="22"/>
          <w:lang w:eastAsia="hu-HU"/>
        </w:rPr>
        <w:t>. 3. §</w:t>
      </w:r>
      <w:r w:rsidR="0067656E" w:rsidRPr="00C85D31">
        <w:rPr>
          <w:rFonts w:eastAsia="Times New Roman" w:cs="Times New Roman"/>
          <w:sz w:val="22"/>
          <w:lang w:eastAsia="hu-HU"/>
        </w:rPr>
        <w:fldChar w:fldCharType="end"/>
      </w:r>
      <w:r w:rsidR="00E95663" w:rsidRPr="00C85D31">
        <w:rPr>
          <w:rFonts w:eastAsia="Times New Roman" w:cs="Times New Roman"/>
          <w:sz w:val="22"/>
          <w:lang w:eastAsia="hu-HU"/>
        </w:rPr>
        <w:t> (1) –(3) bekezdésében m</w:t>
      </w:r>
      <w:r w:rsidRPr="00C85D31">
        <w:rPr>
          <w:rFonts w:eastAsia="Times New Roman" w:cs="Times New Roman"/>
          <w:sz w:val="22"/>
          <w:lang w:eastAsia="hu-HU"/>
        </w:rPr>
        <w:t>eghatározott személyekre terjed ki.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- Szociális rászorultság esetén a jogosult számára az önkormányzat az </w:t>
      </w:r>
      <w:proofErr w:type="spellStart"/>
      <w:r w:rsidR="00776F1F">
        <w:fldChar w:fldCharType="begin"/>
      </w:r>
      <w:r w:rsidR="00776F1F">
        <w:instrText xml:space="preserve"> HYPERLINK "https://njt.hu/jogszabaly/1993-3-00-00" \t "_blank" </w:instrText>
      </w:r>
      <w:r w:rsidR="00776F1F">
        <w:fldChar w:fldCharType="separate"/>
      </w:r>
      <w:r w:rsidRPr="00C85D31">
        <w:rPr>
          <w:rFonts w:eastAsia="Times New Roman" w:cs="Times New Roman"/>
          <w:sz w:val="22"/>
          <w:lang w:eastAsia="hu-HU"/>
        </w:rPr>
        <w:t>Szoctv</w:t>
      </w:r>
      <w:proofErr w:type="spellEnd"/>
      <w:r w:rsidRPr="00C85D31">
        <w:rPr>
          <w:rFonts w:eastAsia="Times New Roman" w:cs="Times New Roman"/>
          <w:sz w:val="22"/>
          <w:lang w:eastAsia="hu-HU"/>
        </w:rPr>
        <w:t>.</w:t>
      </w:r>
      <w:r w:rsidR="00776F1F">
        <w:rPr>
          <w:rFonts w:eastAsia="Times New Roman" w:cs="Times New Roman"/>
          <w:sz w:val="22"/>
          <w:lang w:eastAsia="hu-HU"/>
        </w:rPr>
        <w:fldChar w:fldCharType="end"/>
      </w:r>
      <w:r w:rsidRPr="00C85D31">
        <w:rPr>
          <w:rFonts w:eastAsia="Times New Roman" w:cs="Times New Roman"/>
          <w:sz w:val="22"/>
          <w:lang w:eastAsia="hu-HU"/>
        </w:rPr>
        <w:t>-</w:t>
      </w:r>
      <w:proofErr w:type="spellStart"/>
      <w:r w:rsidRPr="00C85D31">
        <w:rPr>
          <w:rFonts w:eastAsia="Times New Roman" w:cs="Times New Roman"/>
          <w:sz w:val="22"/>
          <w:lang w:eastAsia="hu-HU"/>
        </w:rPr>
        <w:t>ben</w:t>
      </w:r>
      <w:proofErr w:type="spellEnd"/>
      <w:r w:rsidRPr="00C85D31">
        <w:rPr>
          <w:rFonts w:eastAsia="Times New Roman" w:cs="Times New Roman"/>
          <w:sz w:val="22"/>
          <w:lang w:eastAsia="hu-HU"/>
        </w:rPr>
        <w:t>,</w:t>
      </w:r>
      <w:r w:rsidR="00E95663" w:rsidRPr="00C85D31">
        <w:rPr>
          <w:rFonts w:eastAsia="Times New Roman" w:cs="Times New Roman"/>
          <w:sz w:val="22"/>
          <w:lang w:eastAsia="hu-HU"/>
        </w:rPr>
        <w:t xml:space="preserve"> </w:t>
      </w:r>
      <w:r w:rsidRPr="00C85D31">
        <w:rPr>
          <w:rFonts w:eastAsia="Times New Roman" w:cs="Times New Roman"/>
          <w:sz w:val="22"/>
          <w:lang w:eastAsia="hu-HU"/>
        </w:rPr>
        <w:t>illetve e rendeletében meghatározott feltételek szerint megállapított pénzbeli és természetbeni ellátásokat, személyes gondoskodást ny</w:t>
      </w:r>
      <w:r w:rsidR="00E95663" w:rsidRPr="00C85D31">
        <w:rPr>
          <w:rFonts w:eastAsia="Times New Roman" w:cs="Times New Roman"/>
          <w:sz w:val="22"/>
          <w:lang w:eastAsia="hu-HU"/>
        </w:rPr>
        <w:t xml:space="preserve">újtó szociális </w:t>
      </w:r>
      <w:r w:rsidRPr="00C85D31">
        <w:rPr>
          <w:rFonts w:eastAsia="Times New Roman" w:cs="Times New Roman"/>
          <w:sz w:val="22"/>
          <w:lang w:eastAsia="hu-HU"/>
        </w:rPr>
        <w:t>alapellátásokat nyújtja.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- Az önkormányza</w:t>
      </w:r>
      <w:r w:rsidR="00E95663" w:rsidRPr="00C85D31">
        <w:rPr>
          <w:rFonts w:eastAsia="Times New Roman" w:cs="Times New Roman"/>
          <w:sz w:val="22"/>
          <w:lang w:eastAsia="hu-HU"/>
        </w:rPr>
        <w:t xml:space="preserve">t a szociális </w:t>
      </w:r>
      <w:r w:rsidRPr="00C85D31">
        <w:rPr>
          <w:rFonts w:eastAsia="Times New Roman" w:cs="Times New Roman"/>
          <w:sz w:val="22"/>
          <w:lang w:eastAsia="hu-HU"/>
        </w:rPr>
        <w:t>gondoskodásra vonatkozó kötelezettségeit az e rendeletben meghatározott ellátások nyújtásával biztosítja.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i/>
          <w:iCs/>
          <w:sz w:val="22"/>
          <w:lang w:eastAsia="hu-HU"/>
        </w:rPr>
        <w:t>a</w:t>
      </w:r>
      <w:proofErr w:type="gramEnd"/>
      <w:r w:rsidRPr="00C85D31">
        <w:rPr>
          <w:rFonts w:eastAsia="Times New Roman" w:cs="Times New Roman"/>
          <w:i/>
          <w:iCs/>
          <w:sz w:val="22"/>
          <w:lang w:eastAsia="hu-HU"/>
        </w:rPr>
        <w:t>)</w:t>
      </w:r>
      <w:r w:rsidRPr="00C85D31">
        <w:rPr>
          <w:rFonts w:eastAsia="Times New Roman" w:cs="Times New Roman"/>
          <w:sz w:val="22"/>
          <w:lang w:eastAsia="hu-HU"/>
        </w:rPr>
        <w:t> pénzbeli- és természetbeni ellátások nyújtásával,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b)</w:t>
      </w:r>
      <w:r w:rsidR="00E95663" w:rsidRPr="00C85D31">
        <w:rPr>
          <w:rFonts w:eastAsia="Times New Roman" w:cs="Times New Roman"/>
          <w:sz w:val="22"/>
          <w:lang w:eastAsia="hu-HU"/>
        </w:rPr>
        <w:t xml:space="preserve"> személyes gondoskodást nyújtó szociális </w:t>
      </w:r>
      <w:r w:rsidRPr="00C85D31">
        <w:rPr>
          <w:rFonts w:eastAsia="Times New Roman" w:cs="Times New Roman"/>
          <w:sz w:val="22"/>
          <w:lang w:eastAsia="hu-HU"/>
        </w:rPr>
        <w:t>alapellátások közül a családsegít</w:t>
      </w:r>
      <w:r w:rsidR="00E95663" w:rsidRPr="00C85D31">
        <w:rPr>
          <w:rFonts w:eastAsia="Times New Roman" w:cs="Times New Roman"/>
          <w:sz w:val="22"/>
          <w:lang w:eastAsia="hu-HU"/>
        </w:rPr>
        <w:t>ést</w:t>
      </w:r>
      <w:r w:rsidRPr="00C85D31">
        <w:rPr>
          <w:rFonts w:eastAsia="Times New Roman" w:cs="Times New Roman"/>
          <w:sz w:val="22"/>
          <w:lang w:eastAsia="hu-HU"/>
        </w:rPr>
        <w:t xml:space="preserve">, a házi segítségnyújtást, az étkeztetést, </w:t>
      </w:r>
      <w:r w:rsidR="00E95663" w:rsidRPr="00C85D31">
        <w:rPr>
          <w:rFonts w:eastAsia="Times New Roman" w:cs="Times New Roman"/>
          <w:sz w:val="22"/>
          <w:lang w:eastAsia="hu-HU"/>
        </w:rPr>
        <w:t xml:space="preserve">saját intézmény fenntartásával, illetve társulás formában </w:t>
      </w:r>
      <w:r w:rsidRPr="00C85D31">
        <w:rPr>
          <w:rFonts w:eastAsia="Times New Roman" w:cs="Times New Roman"/>
          <w:sz w:val="22"/>
          <w:lang w:eastAsia="hu-HU"/>
        </w:rPr>
        <w:t>biztosítja,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>- Az önkormányzat pénzbeli, vagy természetbeni ellátásként: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proofErr w:type="gramStart"/>
      <w:r w:rsidRPr="00C85D31">
        <w:rPr>
          <w:rFonts w:eastAsia="Times New Roman" w:cs="Times New Roman"/>
          <w:i/>
          <w:iCs/>
          <w:sz w:val="22"/>
          <w:lang w:eastAsia="hu-HU"/>
        </w:rPr>
        <w:t>a</w:t>
      </w:r>
      <w:proofErr w:type="gramEnd"/>
      <w:r w:rsidRPr="00C85D31">
        <w:rPr>
          <w:rFonts w:eastAsia="Times New Roman" w:cs="Times New Roman"/>
          <w:i/>
          <w:iCs/>
          <w:sz w:val="22"/>
          <w:lang w:eastAsia="hu-HU"/>
        </w:rPr>
        <w:t>)</w:t>
      </w:r>
      <w:r w:rsidRPr="00C85D31">
        <w:rPr>
          <w:rFonts w:eastAsia="Times New Roman" w:cs="Times New Roman"/>
          <w:sz w:val="22"/>
          <w:lang w:eastAsia="hu-HU"/>
        </w:rPr>
        <w:t> eseti vagy rendszer</w:t>
      </w:r>
      <w:r w:rsidR="00E95663" w:rsidRPr="00C85D31">
        <w:rPr>
          <w:rFonts w:eastAsia="Times New Roman" w:cs="Times New Roman"/>
          <w:sz w:val="22"/>
          <w:lang w:eastAsia="hu-HU"/>
        </w:rPr>
        <w:t xml:space="preserve">es települési </w:t>
      </w:r>
      <w:r w:rsidRPr="00C85D31">
        <w:rPr>
          <w:rFonts w:eastAsia="Times New Roman" w:cs="Times New Roman"/>
          <w:sz w:val="22"/>
          <w:lang w:eastAsia="hu-HU"/>
        </w:rPr>
        <w:t>támogatást állapíthat meg,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i/>
          <w:iCs/>
          <w:sz w:val="22"/>
          <w:lang w:eastAsia="hu-HU"/>
        </w:rPr>
        <w:t>b)</w:t>
      </w:r>
      <w:r w:rsidRPr="00C85D31">
        <w:rPr>
          <w:rFonts w:eastAsia="Times New Roman" w:cs="Times New Roman"/>
          <w:sz w:val="22"/>
          <w:lang w:eastAsia="hu-HU"/>
        </w:rPr>
        <w:t> köztemetést biztosít.</w:t>
      </w: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</w:p>
    <w:p w:rsidR="00CB29C3" w:rsidRPr="00C85D31" w:rsidRDefault="00CB29C3" w:rsidP="00CB29C3">
      <w:pPr>
        <w:shd w:val="clear" w:color="auto" w:fill="FFFFFF"/>
        <w:rPr>
          <w:rFonts w:eastAsia="Times New Roman" w:cs="Times New Roman"/>
          <w:sz w:val="22"/>
          <w:lang w:eastAsia="hu-HU"/>
        </w:rPr>
      </w:pPr>
      <w:r w:rsidRPr="00C85D31">
        <w:rPr>
          <w:rFonts w:eastAsia="Times New Roman" w:cs="Times New Roman"/>
          <w:sz w:val="22"/>
          <w:lang w:eastAsia="hu-HU"/>
        </w:rPr>
        <w:t xml:space="preserve">Az önkormányzati rendelet részletesen tartalmazza az ellátások formáját, kérelmezésük feltételeit, a döntés szintjét. </w:t>
      </w:r>
    </w:p>
    <w:p w:rsidR="00CB29C3" w:rsidRPr="00C85D31" w:rsidRDefault="00CB29C3" w:rsidP="00CB29C3">
      <w:pPr>
        <w:suppressAutoHyphens/>
        <w:rPr>
          <w:rFonts w:cs="Times New Roman"/>
          <w:sz w:val="22"/>
        </w:rPr>
      </w:pPr>
    </w:p>
    <w:p w:rsidR="00CB29C3" w:rsidRPr="00C85D31" w:rsidRDefault="00CB29C3" w:rsidP="00CB29C3">
      <w:pPr>
        <w:suppressAutoHyphens/>
        <w:rPr>
          <w:rFonts w:cs="Times New Roman"/>
          <w:sz w:val="22"/>
        </w:rPr>
      </w:pPr>
      <w:r w:rsidRPr="00C85D31">
        <w:rPr>
          <w:rFonts w:cs="Times New Roman"/>
          <w:sz w:val="22"/>
        </w:rPr>
        <w:t>A rendelet teljes szövege megtalálható</w:t>
      </w:r>
      <w:r w:rsidR="006708AC" w:rsidRPr="00C85D31">
        <w:rPr>
          <w:rFonts w:cs="Times New Roman"/>
          <w:sz w:val="22"/>
        </w:rPr>
        <w:t xml:space="preserve"> a </w:t>
      </w:r>
      <w:hyperlink r:id="rId9" w:history="1">
        <w:r w:rsidR="006708AC" w:rsidRPr="00C85D31">
          <w:rPr>
            <w:rStyle w:val="Hiperhivatkozs"/>
            <w:rFonts w:cs="Times New Roman"/>
            <w:sz w:val="22"/>
          </w:rPr>
          <w:t>https://or.njt.hu/eli/731629/r/2023/4</w:t>
        </w:r>
      </w:hyperlink>
      <w:r w:rsidR="006708AC" w:rsidRPr="00C85D31">
        <w:rPr>
          <w:rFonts w:cs="Times New Roman"/>
          <w:sz w:val="22"/>
        </w:rPr>
        <w:t xml:space="preserve"> </w:t>
      </w:r>
      <w:proofErr w:type="gramStart"/>
      <w:r w:rsidR="006708AC" w:rsidRPr="00C85D31">
        <w:rPr>
          <w:rFonts w:cs="Times New Roman"/>
          <w:sz w:val="22"/>
        </w:rPr>
        <w:t>linken</w:t>
      </w:r>
      <w:proofErr w:type="gramEnd"/>
      <w:r w:rsidRPr="00C85D31">
        <w:rPr>
          <w:rFonts w:cs="Times New Roman"/>
          <w:sz w:val="22"/>
        </w:rPr>
        <w:t>.</w:t>
      </w:r>
    </w:p>
    <w:p w:rsidR="00CB29C3" w:rsidRPr="00C85D31" w:rsidRDefault="00CB29C3" w:rsidP="00CB29C3">
      <w:pPr>
        <w:suppressAutoHyphens/>
        <w:rPr>
          <w:rFonts w:cs="Times New Roman"/>
          <w:sz w:val="22"/>
        </w:rPr>
      </w:pPr>
    </w:p>
    <w:p w:rsidR="00CB29C3" w:rsidRPr="00C85D31" w:rsidRDefault="00CB29C3" w:rsidP="00CB29C3">
      <w:pPr>
        <w:suppressAutoHyphens/>
        <w:rPr>
          <w:rFonts w:cs="Times New Roman"/>
          <w:b/>
          <w:i/>
          <w:sz w:val="22"/>
        </w:rPr>
      </w:pPr>
      <w:r w:rsidRPr="00C85D31">
        <w:rPr>
          <w:rFonts w:cs="Times New Roman"/>
          <w:b/>
          <w:i/>
          <w:sz w:val="22"/>
        </w:rPr>
        <w:t>Az előzetes hatásvizsgálat eredménye az alábbi volt:</w:t>
      </w:r>
    </w:p>
    <w:p w:rsidR="00CB29C3" w:rsidRPr="00C85D31" w:rsidRDefault="00CB29C3" w:rsidP="00CB29C3">
      <w:pPr>
        <w:pStyle w:val="Cmsor11"/>
        <w:keepNext w:val="0"/>
        <w:spacing w:before="0" w:after="0"/>
        <w:jc w:val="both"/>
        <w:outlineLvl w:val="9"/>
        <w:rPr>
          <w:rFonts w:ascii="Times New Roman" w:hAnsi="Times New Roman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29C3" w:rsidRPr="00C85D31" w:rsidTr="00F21E2D">
        <w:tc>
          <w:tcPr>
            <w:tcW w:w="9212" w:type="dxa"/>
            <w:gridSpan w:val="2"/>
          </w:tcPr>
          <w:p w:rsidR="00CB29C3" w:rsidRPr="00C85D31" w:rsidRDefault="00CB29C3" w:rsidP="00F21E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Előzetes hatásvizsgálat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Vizsgálati szempontok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Előzetes vizsgálat eredménye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CB29C3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Társadalmi, gazdasági kihatás</w:t>
            </w:r>
          </w:p>
        </w:tc>
        <w:tc>
          <w:tcPr>
            <w:tcW w:w="4606" w:type="dxa"/>
          </w:tcPr>
          <w:p w:rsidR="00CB29C3" w:rsidRPr="00C85D31" w:rsidRDefault="00BA47B9" w:rsidP="00CB29C3">
            <w:pPr>
              <w:pStyle w:val="Szvegtrzs"/>
              <w:spacing w:after="0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T</w:t>
            </w:r>
            <w:r w:rsidR="00CB29C3" w:rsidRPr="00C85D31">
              <w:rPr>
                <w:sz w:val="22"/>
                <w:szCs w:val="22"/>
              </w:rPr>
              <w:t>ársadalmi hatása jelentős: a szociális háló megteremtésével biztosítja a társadalmi rétegek közötti különbségek csökkentését, az egyes rétegek további lecsúszását.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Költségvetési kihatás</w:t>
            </w:r>
          </w:p>
        </w:tc>
        <w:tc>
          <w:tcPr>
            <w:tcW w:w="4606" w:type="dxa"/>
          </w:tcPr>
          <w:p w:rsidR="00CB29C3" w:rsidRPr="00C85D31" w:rsidRDefault="00BA47B9" w:rsidP="00F21E2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</w:t>
            </w:r>
            <w:r w:rsidR="00CB29C3" w:rsidRPr="00C85D31">
              <w:rPr>
                <w:rFonts w:eastAsia="Calibri" w:cs="Times New Roman"/>
                <w:sz w:val="22"/>
              </w:rPr>
              <w:t xml:space="preserve"> szociális kiadások éves szinten az eredeti költségvetési főösszeg </w:t>
            </w:r>
            <w:r w:rsidRPr="00C85D31">
              <w:rPr>
                <w:rFonts w:cs="Times New Roman"/>
                <w:sz w:val="22"/>
              </w:rPr>
              <w:t>4,5</w:t>
            </w:r>
            <w:r w:rsidR="00CB29C3" w:rsidRPr="00C85D31">
              <w:rPr>
                <w:rFonts w:eastAsia="Calibri" w:cs="Times New Roman"/>
                <w:sz w:val="22"/>
              </w:rPr>
              <w:t xml:space="preserve"> %-át teszik ki.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Környezeti kihatás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Nincsenek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Egészségügyi következmények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Nincsenek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Adminisztratív terheket befolyásoló hatásai</w:t>
            </w:r>
          </w:p>
        </w:tc>
        <w:tc>
          <w:tcPr>
            <w:tcW w:w="4606" w:type="dxa"/>
          </w:tcPr>
          <w:p w:rsidR="00CB29C3" w:rsidRPr="00C85D31" w:rsidRDefault="00BA47B9" w:rsidP="00F21E2D">
            <w:pPr>
              <w:rPr>
                <w:rFonts w:eastAsia="Times New Roman" w:cs="Times New Roman"/>
                <w:sz w:val="22"/>
                <w:lang w:eastAsia="hu-HU"/>
              </w:rPr>
            </w:pPr>
            <w:r w:rsidRPr="00C85D31">
              <w:rPr>
                <w:rFonts w:cs="Times New Roman"/>
                <w:sz w:val="22"/>
              </w:rPr>
              <w:t>A</w:t>
            </w:r>
            <w:r w:rsidRPr="00C85D31">
              <w:rPr>
                <w:rFonts w:eastAsia="Calibri" w:cs="Times New Roman"/>
                <w:sz w:val="22"/>
              </w:rPr>
              <w:t xml:space="preserve"> hivatalnak el kell látnia a szociális ellátásokkal kapcsolati </w:t>
            </w:r>
            <w:proofErr w:type="gramStart"/>
            <w:r w:rsidRPr="00C85D31">
              <w:rPr>
                <w:rFonts w:eastAsia="Calibri" w:cs="Times New Roman"/>
                <w:sz w:val="22"/>
              </w:rPr>
              <w:t>adminisztrációs</w:t>
            </w:r>
            <w:proofErr w:type="gramEnd"/>
            <w:r w:rsidRPr="00C85D31">
              <w:rPr>
                <w:rFonts w:eastAsia="Calibri" w:cs="Times New Roman"/>
                <w:sz w:val="22"/>
              </w:rPr>
              <w:t>, döntés előkészítési, valamint folyósítási feladatokat, amelyek azonban korábban is ellátott feladatok voltak, további jelentős terhet nem jelentenek.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Megalkotásának szükségessége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85D31">
              <w:rPr>
                <w:rFonts w:eastAsia="Times New Roman" w:cs="Times New Roman"/>
                <w:sz w:val="22"/>
                <w:lang w:eastAsia="hu-HU"/>
              </w:rPr>
              <w:t>A rendelet megalkotása kötelező</w:t>
            </w:r>
            <w:r w:rsidRPr="00C85D31">
              <w:rPr>
                <w:rFonts w:eastAsia="Calibri" w:cs="Times New Roman"/>
                <w:sz w:val="22"/>
              </w:rPr>
              <w:t>.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Megalkotása elmaradásának várható következményei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Times New Roman" w:cs="Times New Roman"/>
                <w:sz w:val="22"/>
                <w:lang w:eastAsia="hu-HU"/>
              </w:rPr>
              <w:t>A rendelet elmaradásának következménye: törvényességi felhívás lehet</w:t>
            </w:r>
            <w:r w:rsidRPr="00C85D31">
              <w:rPr>
                <w:rFonts w:eastAsia="Calibri" w:cs="Times New Roman"/>
                <w:sz w:val="22"/>
              </w:rPr>
              <w:t xml:space="preserve"> </w:t>
            </w:r>
          </w:p>
        </w:tc>
      </w:tr>
      <w:tr w:rsidR="00CB29C3" w:rsidRPr="00C85D31" w:rsidTr="00F21E2D">
        <w:tc>
          <w:tcPr>
            <w:tcW w:w="4606" w:type="dxa"/>
          </w:tcPr>
          <w:p w:rsidR="00CB29C3" w:rsidRPr="00C85D31" w:rsidRDefault="00CB29C3" w:rsidP="00BA47B9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Alkalmazásához szükséges személyi, szervezeti, tárgyi és pénzügyi feltételek</w:t>
            </w:r>
          </w:p>
        </w:tc>
        <w:tc>
          <w:tcPr>
            <w:tcW w:w="4606" w:type="dxa"/>
          </w:tcPr>
          <w:p w:rsidR="00CB29C3" w:rsidRPr="00C85D31" w:rsidRDefault="00BA47B9" w:rsidP="00BA47B9">
            <w:pPr>
              <w:pStyle w:val="Szvegtrzs"/>
              <w:spacing w:after="0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>A személyi, szervezeti és tárgyi feltételek rendelkezésre állnak. A pénzügyi forrás</w:t>
            </w:r>
            <w:r w:rsidR="006708AC" w:rsidRPr="00C85D31">
              <w:rPr>
                <w:sz w:val="22"/>
                <w:szCs w:val="22"/>
              </w:rPr>
              <w:t xml:space="preserve"> egy része</w:t>
            </w:r>
            <w:r w:rsidRPr="00C85D31">
              <w:rPr>
                <w:sz w:val="22"/>
                <w:szCs w:val="22"/>
              </w:rPr>
              <w:t xml:space="preserve"> állami támogatásból biztosított. A rendelet megalkotása többlet személyi, szervezeti és tárgyi feltételt nem igényel. </w:t>
            </w:r>
          </w:p>
        </w:tc>
      </w:tr>
    </w:tbl>
    <w:p w:rsidR="00CB29C3" w:rsidRPr="00C85D31" w:rsidRDefault="00CB29C3" w:rsidP="00CB29C3">
      <w:pPr>
        <w:pStyle w:val="Cmsor11"/>
        <w:keepNext w:val="0"/>
        <w:spacing w:before="0" w:after="0"/>
        <w:jc w:val="both"/>
        <w:outlineLvl w:val="9"/>
        <w:rPr>
          <w:rFonts w:ascii="Times New Roman" w:hAnsi="Times New Roman"/>
          <w:szCs w:val="22"/>
        </w:rPr>
      </w:pPr>
    </w:p>
    <w:p w:rsidR="00CB29C3" w:rsidRPr="00C85D31" w:rsidRDefault="00CB29C3" w:rsidP="00CB29C3">
      <w:pPr>
        <w:autoSpaceDE w:val="0"/>
        <w:autoSpaceDN w:val="0"/>
        <w:adjustRightInd w:val="0"/>
        <w:rPr>
          <w:rFonts w:cs="Times New Roman"/>
          <w:b/>
          <w:i/>
          <w:sz w:val="22"/>
        </w:rPr>
      </w:pPr>
      <w:r w:rsidRPr="00C85D31">
        <w:rPr>
          <w:rFonts w:cs="Times New Roman"/>
          <w:b/>
          <w:i/>
          <w:sz w:val="22"/>
        </w:rPr>
        <w:t>Az utólagos hatásvizsgálat eredménye az előzőekben megfogalmazott célok alapján:</w:t>
      </w:r>
    </w:p>
    <w:p w:rsidR="00CB29C3" w:rsidRPr="00C85D31" w:rsidRDefault="00CB29C3" w:rsidP="00CB29C3">
      <w:pPr>
        <w:autoSpaceDE w:val="0"/>
        <w:autoSpaceDN w:val="0"/>
        <w:adjustRightInd w:val="0"/>
        <w:rPr>
          <w:rFonts w:cs="Times New Roman"/>
          <w:i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CB29C3" w:rsidRPr="00C85D31" w:rsidTr="00F21E2D">
        <w:tc>
          <w:tcPr>
            <w:tcW w:w="9212" w:type="dxa"/>
            <w:gridSpan w:val="2"/>
          </w:tcPr>
          <w:p w:rsidR="00CB29C3" w:rsidRPr="00C85D31" w:rsidRDefault="00CB29C3" w:rsidP="00F21E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Utólagos hatásvizsgálat eredménye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Vizsgálati szempontok az előzetes hatásvizsgálat alapján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Eltérések az előzetes vizsgálat eredményétől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Társadalmi, gazdasági kihatás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Költségvetési kihatás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Környezeti kihatás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Egészségügyi következmények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Adminisztratív terheket befolyásoló hatásai</w:t>
            </w:r>
          </w:p>
        </w:tc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Megalkotásának szükségessége</w:t>
            </w:r>
          </w:p>
        </w:tc>
        <w:tc>
          <w:tcPr>
            <w:tcW w:w="4606" w:type="dxa"/>
          </w:tcPr>
          <w:p w:rsidR="00CB29C3" w:rsidRPr="00883530" w:rsidRDefault="0088773F" w:rsidP="00F21E2D">
            <w:pPr>
              <w:rPr>
                <w:rFonts w:cs="Times New Roman"/>
                <w:b/>
                <w:sz w:val="22"/>
              </w:rPr>
            </w:pPr>
            <w:r w:rsidRPr="00883530">
              <w:rPr>
                <w:rFonts w:cs="Times New Roman"/>
                <w:b/>
                <w:sz w:val="22"/>
              </w:rPr>
              <w:t xml:space="preserve">Berzence Nagyközség Önkormányzata </w:t>
            </w:r>
            <w:r w:rsidRPr="00883530">
              <w:rPr>
                <w:rFonts w:cs="Times New Roman"/>
                <w:b/>
                <w:sz w:val="22"/>
                <w:u w:val="single"/>
              </w:rPr>
              <w:t>pénzbeli</w:t>
            </w:r>
            <w:r w:rsidRPr="00883530">
              <w:rPr>
                <w:rFonts w:cs="Times New Roman"/>
                <w:b/>
                <w:sz w:val="22"/>
              </w:rPr>
              <w:t xml:space="preserve"> szociális </w:t>
            </w:r>
            <w:r w:rsidRPr="00883530">
              <w:rPr>
                <w:rFonts w:cs="Times New Roman"/>
                <w:b/>
                <w:sz w:val="22"/>
                <w:u w:val="single"/>
              </w:rPr>
              <w:t>ellátás</w:t>
            </w:r>
            <w:r w:rsidRPr="00883530"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 w:rsidRPr="00883530">
              <w:rPr>
                <w:rFonts w:cs="Times New Roman"/>
                <w:b/>
                <w:sz w:val="22"/>
              </w:rPr>
              <w:t>finanszírozására</w:t>
            </w:r>
            <w:proofErr w:type="gramEnd"/>
            <w:r w:rsidRPr="00883530">
              <w:rPr>
                <w:rFonts w:cs="Times New Roman"/>
                <w:b/>
                <w:sz w:val="22"/>
              </w:rPr>
              <w:t xml:space="preserve"> állami támogatásban nem részesül, így a </w:t>
            </w:r>
            <w:proofErr w:type="spellStart"/>
            <w:r w:rsidRPr="00883530">
              <w:rPr>
                <w:rFonts w:cs="Times New Roman"/>
                <w:b/>
                <w:sz w:val="22"/>
              </w:rPr>
              <w:t>Szoctv</w:t>
            </w:r>
            <w:proofErr w:type="spellEnd"/>
            <w:r w:rsidRPr="00883530">
              <w:rPr>
                <w:rFonts w:cs="Times New Roman"/>
                <w:b/>
                <w:sz w:val="22"/>
              </w:rPr>
              <w:t>. alapján önkormányzati rendelet megalkotására nem kötelezett.</w:t>
            </w:r>
            <w:r w:rsidR="00883530" w:rsidRPr="00883530">
              <w:rPr>
                <w:rFonts w:cs="Times New Roman"/>
                <w:b/>
                <w:sz w:val="22"/>
              </w:rPr>
              <w:t xml:space="preserve"> A kötelező szociális szolgáltatásokat természetesen biztosítani szükséges. </w:t>
            </w:r>
            <w:r w:rsidRPr="00883530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Megalkotása elmaradásának várható következményei</w:t>
            </w:r>
          </w:p>
        </w:tc>
        <w:tc>
          <w:tcPr>
            <w:tcW w:w="4606" w:type="dxa"/>
          </w:tcPr>
          <w:p w:rsidR="00CB29C3" w:rsidRPr="00883530" w:rsidRDefault="00CB29C3" w:rsidP="00883530">
            <w:pPr>
              <w:rPr>
                <w:rFonts w:cs="Times New Roman"/>
                <w:b/>
                <w:sz w:val="22"/>
              </w:rPr>
            </w:pPr>
            <w:r w:rsidRPr="00883530">
              <w:rPr>
                <w:rFonts w:cs="Times New Roman"/>
                <w:b/>
                <w:sz w:val="22"/>
              </w:rPr>
              <w:t>Az előzetes hatásvizsgálat eredményétől eltérés nem tapasztalható</w:t>
            </w:r>
            <w:r w:rsidR="00883530" w:rsidRPr="00883530">
              <w:rPr>
                <w:rFonts w:cs="Times New Roman"/>
                <w:b/>
                <w:sz w:val="22"/>
              </w:rPr>
              <w:t>, de csak a szociális szolgáltatások (étkeztetés, házi segítségnyújtás, családsegítés) vonatkozásában.</w:t>
            </w:r>
          </w:p>
        </w:tc>
      </w:tr>
      <w:tr w:rsidR="00883530" w:rsidRPr="00C85D31" w:rsidTr="00F21E2D">
        <w:tc>
          <w:tcPr>
            <w:tcW w:w="4606" w:type="dxa"/>
          </w:tcPr>
          <w:p w:rsidR="00CB29C3" w:rsidRPr="00C85D31" w:rsidRDefault="00CB29C3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Alkalmazásához szükséges személyi, szervezeti, tárgyi és pénzügyi feltételek</w:t>
            </w:r>
          </w:p>
        </w:tc>
        <w:tc>
          <w:tcPr>
            <w:tcW w:w="4606" w:type="dxa"/>
          </w:tcPr>
          <w:p w:rsidR="00CB29C3" w:rsidRPr="00C85D31" w:rsidRDefault="00CB29C3" w:rsidP="00423BE3">
            <w:pPr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Az előzetes hatásviz</w:t>
            </w:r>
            <w:r w:rsidR="006708AC" w:rsidRPr="00C85D31">
              <w:rPr>
                <w:rFonts w:cs="Times New Roman"/>
                <w:b/>
                <w:sz w:val="22"/>
              </w:rPr>
              <w:t xml:space="preserve">sgálat eredményétől eltérés </w:t>
            </w:r>
            <w:r w:rsidRPr="00C85D31">
              <w:rPr>
                <w:rFonts w:cs="Times New Roman"/>
                <w:b/>
                <w:sz w:val="22"/>
              </w:rPr>
              <w:t>tapasztalható</w:t>
            </w:r>
            <w:r w:rsidR="006708AC" w:rsidRPr="00C85D31">
              <w:rPr>
                <w:rFonts w:cs="Times New Roman"/>
                <w:b/>
                <w:sz w:val="22"/>
              </w:rPr>
              <w:t xml:space="preserve"> a pénzügyi feltételek vonatkozásában. Az ön</w:t>
            </w:r>
            <w:r w:rsidR="0045284C" w:rsidRPr="00C85D31">
              <w:rPr>
                <w:rFonts w:cs="Times New Roman"/>
                <w:b/>
                <w:sz w:val="22"/>
              </w:rPr>
              <w:t xml:space="preserve">kormányzat a szociális kiadások </w:t>
            </w:r>
            <w:proofErr w:type="gramStart"/>
            <w:r w:rsidR="0045284C" w:rsidRPr="00C85D31">
              <w:rPr>
                <w:rFonts w:cs="Times New Roman"/>
                <w:b/>
                <w:sz w:val="22"/>
              </w:rPr>
              <w:t>finanszírozására</w:t>
            </w:r>
            <w:proofErr w:type="gramEnd"/>
            <w:r w:rsidR="0045284C" w:rsidRPr="00C85D31">
              <w:rPr>
                <w:rFonts w:cs="Times New Roman"/>
                <w:b/>
                <w:sz w:val="22"/>
              </w:rPr>
              <w:t xml:space="preserve"> állami normatív támogatásban nem részesül az iparűzési adóerőképesség </w:t>
            </w:r>
            <w:r w:rsidR="00535EB0" w:rsidRPr="00C85D31">
              <w:rPr>
                <w:rFonts w:cs="Times New Roman"/>
                <w:b/>
                <w:sz w:val="22"/>
              </w:rPr>
              <w:t xml:space="preserve"> </w:t>
            </w:r>
            <w:r w:rsidR="0045284C" w:rsidRPr="00C85D31">
              <w:rPr>
                <w:rFonts w:cs="Times New Roman"/>
                <w:b/>
                <w:sz w:val="22"/>
              </w:rPr>
              <w:t xml:space="preserve">mértéke miatt. </w:t>
            </w:r>
            <w:r w:rsidR="00A63B32" w:rsidRPr="00C85D31">
              <w:rPr>
                <w:rFonts w:cs="Times New Roman"/>
                <w:b/>
                <w:sz w:val="22"/>
              </w:rPr>
              <w:t>Az önkormányzati rendeletben bevezetett ellátások közül az ápolási díj, a gyógyszertámogatás, illetve a szemétszállítási díjtámogatás feltételeinek módosítás</w:t>
            </w:r>
            <w:r w:rsidR="00733CEE" w:rsidRPr="00C85D31">
              <w:rPr>
                <w:rFonts w:cs="Times New Roman"/>
                <w:b/>
                <w:sz w:val="22"/>
              </w:rPr>
              <w:t xml:space="preserve">a, vagy megszüntetése javasolt. A szociális célú kiadások összege a 2025. évben eléri a 30 millió Ft-ot, mely teljes egészében saját forrás. Amennyiben a </w:t>
            </w:r>
            <w:r w:rsidR="00423BE3">
              <w:rPr>
                <w:rFonts w:cs="Times New Roman"/>
                <w:b/>
                <w:sz w:val="22"/>
              </w:rPr>
              <w:t>támogatás</w:t>
            </w:r>
            <w:r w:rsidR="00733CEE" w:rsidRPr="00C85D31">
              <w:rPr>
                <w:rFonts w:cs="Times New Roman"/>
                <w:b/>
                <w:sz w:val="22"/>
              </w:rPr>
              <w:t>ban változás nem következik be, javasolt a rendelet teljeskörű felülvizsgálata.</w:t>
            </w:r>
          </w:p>
        </w:tc>
      </w:tr>
    </w:tbl>
    <w:p w:rsidR="008A7641" w:rsidRPr="00C85D31" w:rsidRDefault="008A7641" w:rsidP="008A7641">
      <w:pPr>
        <w:pStyle w:val="Stlus"/>
        <w:jc w:val="both"/>
        <w:rPr>
          <w:rFonts w:eastAsiaTheme="minorHAnsi"/>
          <w:sz w:val="22"/>
          <w:szCs w:val="22"/>
          <w:lang w:eastAsia="en-US"/>
        </w:rPr>
      </w:pPr>
    </w:p>
    <w:p w:rsidR="008A7641" w:rsidRPr="00C85D31" w:rsidRDefault="003B1D9B" w:rsidP="00C85D31">
      <w:pPr>
        <w:pStyle w:val="Cmsor2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3</w:t>
      </w:r>
      <w:r w:rsidR="008A7641"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./ </w:t>
      </w:r>
      <w:r w:rsidR="00C85D31"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Az elhagyott hulladék felszámolásához szükséges helyi intézkedésekről szóló 10/2023.(VIII.29</w:t>
      </w:r>
      <w:r w:rsidR="008A7641" w:rsidRPr="00C85D31">
        <w:rPr>
          <w:rFonts w:ascii="Times New Roman" w:hAnsi="Times New Roman" w:cs="Times New Roman"/>
          <w:bCs w:val="0"/>
          <w:color w:val="auto"/>
          <w:sz w:val="22"/>
          <w:szCs w:val="22"/>
        </w:rPr>
        <w:t>.) önkormányzati rendelet:</w:t>
      </w:r>
    </w:p>
    <w:p w:rsidR="008A7641" w:rsidRPr="00C85D31" w:rsidRDefault="008A7641" w:rsidP="00C85D31">
      <w:pPr>
        <w:pStyle w:val="Stlus"/>
        <w:jc w:val="both"/>
        <w:rPr>
          <w:b/>
          <w:bCs/>
          <w:sz w:val="22"/>
          <w:szCs w:val="22"/>
        </w:rPr>
      </w:pPr>
    </w:p>
    <w:p w:rsidR="008A7641" w:rsidRPr="00C85D31" w:rsidRDefault="008A7641" w:rsidP="00C85D31">
      <w:pPr>
        <w:pStyle w:val="Stlus"/>
        <w:jc w:val="both"/>
        <w:rPr>
          <w:b/>
          <w:bCs/>
          <w:i/>
          <w:sz w:val="22"/>
          <w:szCs w:val="22"/>
        </w:rPr>
      </w:pPr>
      <w:r w:rsidRPr="00C85D31">
        <w:rPr>
          <w:b/>
          <w:bCs/>
          <w:i/>
          <w:sz w:val="22"/>
          <w:szCs w:val="22"/>
        </w:rPr>
        <w:t>A rendelet főbb elemei:</w:t>
      </w:r>
    </w:p>
    <w:p w:rsidR="008A7641" w:rsidRPr="00C85D31" w:rsidRDefault="008A7641" w:rsidP="00C85D31">
      <w:pPr>
        <w:pStyle w:val="Stlus"/>
        <w:jc w:val="both"/>
        <w:rPr>
          <w:b/>
          <w:bCs/>
          <w:sz w:val="22"/>
          <w:szCs w:val="22"/>
        </w:rPr>
      </w:pPr>
    </w:p>
    <w:p w:rsidR="00C85D31" w:rsidRPr="00C85D31" w:rsidRDefault="00C85D31" w:rsidP="00C85D31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85D31">
        <w:rPr>
          <w:sz w:val="22"/>
          <w:szCs w:val="22"/>
        </w:rPr>
        <w:t>A rendelet megalkotása a hulladékról szóló </w:t>
      </w:r>
      <w:hyperlink r:id="rId10" w:tgtFrame="_blank" w:history="1">
        <w:r w:rsidRPr="00C85D31">
          <w:rPr>
            <w:rStyle w:val="Hiperhivatkozs"/>
            <w:color w:val="auto"/>
            <w:sz w:val="22"/>
            <w:szCs w:val="22"/>
            <w:u w:val="none"/>
          </w:rPr>
          <w:t>2012. évi CLXXXV. törvény</w:t>
        </w:r>
      </w:hyperlink>
      <w:r w:rsidRPr="00C85D31">
        <w:rPr>
          <w:sz w:val="22"/>
          <w:szCs w:val="22"/>
        </w:rPr>
        <w:t> 35.§ (1) bekezdés h) pontjában és a 88.§ (4) bekezdés c) pontjában kapott felhatalmazás alapján történt.</w:t>
      </w:r>
    </w:p>
    <w:p w:rsidR="00C85D31" w:rsidRDefault="00C85D31" w:rsidP="00C85D31">
      <w:pPr>
        <w:shd w:val="clear" w:color="auto" w:fill="FFFFFF"/>
        <w:rPr>
          <w:rFonts w:cs="Times New Roman"/>
          <w:sz w:val="22"/>
        </w:rPr>
      </w:pPr>
      <w:r>
        <w:rPr>
          <w:rStyle w:val="szakasz-jel"/>
          <w:rFonts w:cs="Times New Roman"/>
          <w:b/>
          <w:bCs/>
          <w:sz w:val="22"/>
        </w:rPr>
        <w:t xml:space="preserve">- </w:t>
      </w:r>
      <w:r>
        <w:rPr>
          <w:rFonts w:cs="Times New Roman"/>
          <w:sz w:val="22"/>
        </w:rPr>
        <w:t xml:space="preserve">A rendelet előírásokat tartalmaz </w:t>
      </w:r>
      <w:r w:rsidRPr="00C85D31">
        <w:rPr>
          <w:rFonts w:cs="Times New Roman"/>
          <w:sz w:val="22"/>
        </w:rPr>
        <w:t>a település közigazgatási területén belül az elhagyott hulladék</w:t>
      </w:r>
      <w:r>
        <w:rPr>
          <w:rFonts w:cs="Times New Roman"/>
          <w:sz w:val="22"/>
        </w:rPr>
        <w:t xml:space="preserve">, illetve a közterületen engedély nélkül lerakott hulladék vonatkozásában. </w:t>
      </w:r>
    </w:p>
    <w:p w:rsidR="008A7641" w:rsidRPr="00C85D31" w:rsidRDefault="008A7641" w:rsidP="008A7641">
      <w:pPr>
        <w:suppressAutoHyphens/>
        <w:rPr>
          <w:rFonts w:cs="Times New Roman"/>
          <w:sz w:val="22"/>
        </w:rPr>
      </w:pPr>
    </w:p>
    <w:p w:rsidR="008A7641" w:rsidRPr="00C85D31" w:rsidRDefault="008A7641" w:rsidP="008A7641">
      <w:pPr>
        <w:suppressAutoHyphens/>
        <w:rPr>
          <w:rFonts w:cs="Times New Roman"/>
          <w:sz w:val="22"/>
        </w:rPr>
      </w:pPr>
      <w:r w:rsidRPr="00C85D31">
        <w:rPr>
          <w:rFonts w:cs="Times New Roman"/>
          <w:sz w:val="22"/>
        </w:rPr>
        <w:t>A rendelet</w:t>
      </w:r>
      <w:r w:rsidR="00C659B2" w:rsidRPr="00C85D31">
        <w:rPr>
          <w:rFonts w:cs="Times New Roman"/>
          <w:sz w:val="22"/>
        </w:rPr>
        <w:t xml:space="preserve"> teljes szövege megtalálható a</w:t>
      </w:r>
      <w:r w:rsidR="00625071">
        <w:rPr>
          <w:rFonts w:cs="Times New Roman"/>
          <w:sz w:val="22"/>
        </w:rPr>
        <w:t xml:space="preserve"> </w:t>
      </w:r>
      <w:hyperlink r:id="rId11" w:history="1">
        <w:r w:rsidR="00625071" w:rsidRPr="00AF09B7">
          <w:rPr>
            <w:rStyle w:val="Hiperhivatkozs"/>
            <w:rFonts w:cs="Times New Roman"/>
            <w:sz w:val="22"/>
          </w:rPr>
          <w:t>https://or.njt.hu/eli/731629/r/2023/10</w:t>
        </w:r>
      </w:hyperlink>
      <w:r w:rsidR="00625071">
        <w:rPr>
          <w:rFonts w:cs="Times New Roman"/>
          <w:sz w:val="22"/>
        </w:rPr>
        <w:t xml:space="preserve"> </w:t>
      </w:r>
      <w:proofErr w:type="gramStart"/>
      <w:r w:rsidR="00625071">
        <w:rPr>
          <w:rFonts w:cs="Times New Roman"/>
          <w:sz w:val="22"/>
        </w:rPr>
        <w:t>linken</w:t>
      </w:r>
      <w:proofErr w:type="gramEnd"/>
      <w:r w:rsidRPr="00C85D31">
        <w:rPr>
          <w:rFonts w:cs="Times New Roman"/>
          <w:sz w:val="22"/>
        </w:rPr>
        <w:t>.</w:t>
      </w:r>
    </w:p>
    <w:p w:rsidR="008A7641" w:rsidRPr="00C85D31" w:rsidRDefault="008A7641" w:rsidP="008A7641">
      <w:pPr>
        <w:suppressAutoHyphens/>
        <w:rPr>
          <w:rFonts w:cs="Times New Roman"/>
          <w:sz w:val="22"/>
        </w:rPr>
      </w:pPr>
    </w:p>
    <w:p w:rsidR="008A7641" w:rsidRPr="00C85D31" w:rsidRDefault="008A7641" w:rsidP="008A7641">
      <w:pPr>
        <w:suppressAutoHyphens/>
        <w:rPr>
          <w:rFonts w:cs="Times New Roman"/>
          <w:b/>
          <w:i/>
          <w:sz w:val="22"/>
        </w:rPr>
      </w:pPr>
      <w:r w:rsidRPr="00C85D31">
        <w:rPr>
          <w:rFonts w:cs="Times New Roman"/>
          <w:b/>
          <w:i/>
          <w:sz w:val="22"/>
        </w:rPr>
        <w:t>Az előzetes hatásvizsgálat eredménye az alábbi volt:</w:t>
      </w:r>
    </w:p>
    <w:p w:rsidR="008A7641" w:rsidRPr="00C85D31" w:rsidRDefault="008A7641" w:rsidP="008A7641">
      <w:pPr>
        <w:pStyle w:val="Cmsor11"/>
        <w:keepNext w:val="0"/>
        <w:spacing w:before="0" w:after="0"/>
        <w:jc w:val="both"/>
        <w:outlineLvl w:val="9"/>
        <w:rPr>
          <w:rFonts w:ascii="Times New Roman" w:hAnsi="Times New Roman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8A7641" w:rsidRPr="00C85D31" w:rsidTr="00F21E2D">
        <w:tc>
          <w:tcPr>
            <w:tcW w:w="9212" w:type="dxa"/>
            <w:gridSpan w:val="2"/>
          </w:tcPr>
          <w:p w:rsidR="008A7641" w:rsidRPr="00C85D31" w:rsidRDefault="008A7641" w:rsidP="00F21E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Előzetes hatásvizsgálat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Vizsgálati szempontok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Előzetes vizsgálat eredménye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Társadalmi, gazdasági, költségvetési kihatás</w:t>
            </w:r>
          </w:p>
        </w:tc>
        <w:tc>
          <w:tcPr>
            <w:tcW w:w="4606" w:type="dxa"/>
          </w:tcPr>
          <w:p w:rsidR="008A7641" w:rsidRPr="00294656" w:rsidRDefault="00294656" w:rsidP="0029465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Kormány 2020-ban meghirdette a Klíma- és Természetvédelmi Akciótervet, amelynek egyik fő eleme az </w:t>
            </w:r>
            <w:proofErr w:type="gramStart"/>
            <w:r>
              <w:rPr>
                <w:sz w:val="23"/>
                <w:szCs w:val="23"/>
              </w:rPr>
              <w:t>illegális</w:t>
            </w:r>
            <w:proofErr w:type="gramEnd"/>
            <w:r>
              <w:rPr>
                <w:sz w:val="23"/>
                <w:szCs w:val="23"/>
              </w:rPr>
              <w:t xml:space="preserve"> hulladéklerakás felszámolása. Az akcióterv végrehajtása érdekében 2021. március 1-i hatállyal a hulladékról szóló 2012. évi CLXXXV. törvény (a továbbiakban: </w:t>
            </w:r>
            <w:proofErr w:type="spellStart"/>
            <w:r>
              <w:rPr>
                <w:sz w:val="23"/>
                <w:szCs w:val="23"/>
              </w:rPr>
              <w:t>Ht</w:t>
            </w:r>
            <w:proofErr w:type="spellEnd"/>
            <w:r>
              <w:rPr>
                <w:sz w:val="23"/>
                <w:szCs w:val="23"/>
              </w:rPr>
              <w:t xml:space="preserve">.) is módosításra került, amelynek 35. § (1) bekezdés h) pontja jogalkotási kötelezettséget írt elő a települési önkormányzatok részére e feladat megvalósításához szükséges helyi intézkedések körének megállapítása tekintetében. A </w:t>
            </w:r>
            <w:proofErr w:type="spellStart"/>
            <w:r>
              <w:rPr>
                <w:sz w:val="23"/>
                <w:szCs w:val="23"/>
              </w:rPr>
              <w:t>Ht</w:t>
            </w:r>
            <w:proofErr w:type="spellEnd"/>
            <w:r>
              <w:rPr>
                <w:sz w:val="23"/>
                <w:szCs w:val="23"/>
              </w:rPr>
              <w:t xml:space="preserve">. új közigazgatási szankciórendszert állít fel az </w:t>
            </w:r>
            <w:proofErr w:type="gramStart"/>
            <w:r>
              <w:rPr>
                <w:sz w:val="23"/>
                <w:szCs w:val="23"/>
              </w:rPr>
              <w:t>illegális</w:t>
            </w:r>
            <w:proofErr w:type="gramEnd"/>
            <w:r>
              <w:rPr>
                <w:sz w:val="23"/>
                <w:szCs w:val="23"/>
              </w:rPr>
              <w:t xml:space="preserve"> szemétlerakás felszámolása és megelőzése érdekében. Ha a tettenérés nem valósul meg, és a hulladék tulajdonosa vagy korábbi birtokosa nem állapítható meg, úgy az ingatlan tulajdonosa kötelezhető a hulladék elszállíttatására és kezelésére. E feladatkörében az önkormányzat a Kormányhivatal szervezetén belül létrehozott hulladékgazdálkodási hatósággal köteles együttműködni.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67C66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Környezeti</w:t>
            </w:r>
            <w:r w:rsidR="00F67C66" w:rsidRPr="00C85D31">
              <w:rPr>
                <w:rFonts w:cs="Times New Roman"/>
                <w:sz w:val="22"/>
              </w:rPr>
              <w:t xml:space="preserve">, egészségügyi </w:t>
            </w:r>
            <w:r w:rsidRPr="00C85D31">
              <w:rPr>
                <w:rFonts w:cs="Times New Roman"/>
                <w:sz w:val="22"/>
              </w:rPr>
              <w:t>kihatás</w:t>
            </w:r>
          </w:p>
        </w:tc>
        <w:tc>
          <w:tcPr>
            <w:tcW w:w="4606" w:type="dxa"/>
          </w:tcPr>
          <w:p w:rsidR="008A7641" w:rsidRPr="00C85D31" w:rsidRDefault="00294656" w:rsidP="00F21E2D">
            <w:pPr>
              <w:rPr>
                <w:rFonts w:cs="Times New Roman"/>
                <w:sz w:val="22"/>
              </w:rPr>
            </w:pPr>
            <w:r>
              <w:rPr>
                <w:sz w:val="23"/>
                <w:szCs w:val="23"/>
              </w:rPr>
              <w:t xml:space="preserve">A tervezetnek a környezetre gyakorolt hatása pozitív, a környezetterhelés csökken. A környezet megóvása, az egészség megőrzése, valamint tájvédelmi és tájképvédelmi szempontból is kiemelten fontos az </w:t>
            </w:r>
            <w:proofErr w:type="gramStart"/>
            <w:r>
              <w:rPr>
                <w:sz w:val="23"/>
                <w:szCs w:val="23"/>
              </w:rPr>
              <w:t>illegális</w:t>
            </w:r>
            <w:proofErr w:type="gramEnd"/>
            <w:r>
              <w:rPr>
                <w:sz w:val="23"/>
                <w:szCs w:val="23"/>
              </w:rPr>
              <w:t xml:space="preserve"> hulladék-lerakók okozta talaj-, víz-, és levegőterhelés megszüntetése. A rendelettervezet az </w:t>
            </w:r>
            <w:proofErr w:type="gramStart"/>
            <w:r>
              <w:rPr>
                <w:sz w:val="23"/>
                <w:szCs w:val="23"/>
              </w:rPr>
              <w:t>illegális</w:t>
            </w:r>
            <w:proofErr w:type="gramEnd"/>
            <w:r>
              <w:rPr>
                <w:sz w:val="23"/>
                <w:szCs w:val="23"/>
              </w:rPr>
              <w:t xml:space="preserve"> szemétlerakás, a hulladék elhagyó magatartás visszaszorítása érdekében teendő önkormányzati intézkedéseket tartalmazza, ily módon közvetlenül szolgálja az egészséges</w:t>
            </w:r>
            <w:r>
              <w:rPr>
                <w:rFonts w:cs="Times New Roman"/>
                <w:bCs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3"/>
                <w:szCs w:val="23"/>
              </w:rPr>
              <w:t>környezethez való jog, a természeti erőforrások megőrzésének alkotmányos kötelezettségét.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Adminisztratív terheket befolyásoló hatásai</w:t>
            </w:r>
          </w:p>
        </w:tc>
        <w:tc>
          <w:tcPr>
            <w:tcW w:w="4606" w:type="dxa"/>
          </w:tcPr>
          <w:p w:rsidR="008A7641" w:rsidRPr="00C85D31" w:rsidRDefault="00F67C66" w:rsidP="00F21E2D">
            <w:pPr>
              <w:rPr>
                <w:rFonts w:eastAsia="Times New Roman" w:cs="Times New Roman"/>
                <w:sz w:val="22"/>
                <w:lang w:eastAsia="hu-HU"/>
              </w:rPr>
            </w:pPr>
            <w:r w:rsidRPr="00C85D31">
              <w:rPr>
                <w:rFonts w:eastAsia="Calibri" w:cs="Times New Roman"/>
                <w:sz w:val="22"/>
              </w:rPr>
              <w:t>A rendelet az adminisztratív terhek jelentős növekedésével nem jár.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Megalkotásának szükségessége</w:t>
            </w:r>
          </w:p>
        </w:tc>
        <w:tc>
          <w:tcPr>
            <w:tcW w:w="4606" w:type="dxa"/>
          </w:tcPr>
          <w:p w:rsidR="008A7641" w:rsidRPr="00294656" w:rsidRDefault="00294656" w:rsidP="00294656">
            <w:pPr>
              <w:pStyle w:val="Default"/>
              <w:ind w:left="-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tervezet célja a köztisztaság, a településtisztaság biztosítása, a közegészségügy, valamint az épített és természeti környezet védelme, valamint a hulladékokról szóló 2012. évi CLXXXV. törvénynek való megfelelés.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Megalkotása elmaradásának várható következményei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Times New Roman" w:cs="Times New Roman"/>
                <w:sz w:val="22"/>
                <w:lang w:eastAsia="hu-HU"/>
              </w:rPr>
              <w:t>A rendelet elmaradásának következménye: törvényességi felhívás lehet</w:t>
            </w:r>
            <w:r w:rsidRPr="00C85D31">
              <w:rPr>
                <w:rFonts w:eastAsia="Calibri" w:cs="Times New Roman"/>
                <w:sz w:val="22"/>
              </w:rPr>
              <w:t xml:space="preserve"> </w:t>
            </w:r>
          </w:p>
        </w:tc>
      </w:tr>
      <w:tr w:rsidR="00294656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Alkalmazásához szükséges személyi, szervezeti, tárgyi és pénzügyi feltételek</w:t>
            </w:r>
          </w:p>
        </w:tc>
        <w:tc>
          <w:tcPr>
            <w:tcW w:w="4606" w:type="dxa"/>
          </w:tcPr>
          <w:p w:rsidR="008A7641" w:rsidRPr="00C85D31" w:rsidRDefault="00F67C66" w:rsidP="00294656">
            <w:pPr>
              <w:pStyle w:val="Szvegtrzs"/>
              <w:spacing w:after="0"/>
              <w:rPr>
                <w:sz w:val="22"/>
                <w:szCs w:val="22"/>
              </w:rPr>
            </w:pPr>
            <w:r w:rsidRPr="00C85D31">
              <w:rPr>
                <w:sz w:val="22"/>
                <w:szCs w:val="22"/>
              </w:rPr>
              <w:t xml:space="preserve">A rendelet elfogadása </w:t>
            </w:r>
            <w:r w:rsidR="00294656">
              <w:rPr>
                <w:sz w:val="22"/>
                <w:szCs w:val="22"/>
              </w:rPr>
              <w:t>Berzence Nagyk</w:t>
            </w:r>
            <w:r w:rsidRPr="00C85D31">
              <w:rPr>
                <w:sz w:val="22"/>
                <w:szCs w:val="22"/>
              </w:rPr>
              <w:t xml:space="preserve">özség Önkormányzata személyi, szervezeti, tárgyi feltételeit, ebből következően pénzügyi feltételeit nem érinti. A jelenlegi személyi, tárgyi, szervezeti </w:t>
            </w:r>
            <w:proofErr w:type="gramStart"/>
            <w:r w:rsidRPr="00C85D31">
              <w:rPr>
                <w:sz w:val="22"/>
                <w:szCs w:val="22"/>
              </w:rPr>
              <w:t>funkciókat</w:t>
            </w:r>
            <w:proofErr w:type="gramEnd"/>
            <w:r w:rsidRPr="00C85D31">
              <w:rPr>
                <w:sz w:val="22"/>
                <w:szCs w:val="22"/>
              </w:rPr>
              <w:t xml:space="preserve"> változtatni nem szükséges</w:t>
            </w:r>
          </w:p>
        </w:tc>
      </w:tr>
    </w:tbl>
    <w:p w:rsidR="008A7641" w:rsidRPr="00C85D31" w:rsidRDefault="008A7641" w:rsidP="008A7641">
      <w:pPr>
        <w:pStyle w:val="Cmsor11"/>
        <w:keepNext w:val="0"/>
        <w:spacing w:before="0" w:after="0"/>
        <w:jc w:val="both"/>
        <w:outlineLvl w:val="9"/>
        <w:rPr>
          <w:rFonts w:ascii="Times New Roman" w:hAnsi="Times New Roman"/>
          <w:szCs w:val="22"/>
        </w:rPr>
      </w:pPr>
    </w:p>
    <w:p w:rsidR="008A7641" w:rsidRPr="00C85D31" w:rsidRDefault="008A7641" w:rsidP="008A7641">
      <w:pPr>
        <w:autoSpaceDE w:val="0"/>
        <w:autoSpaceDN w:val="0"/>
        <w:adjustRightInd w:val="0"/>
        <w:rPr>
          <w:rFonts w:cs="Times New Roman"/>
          <w:b/>
          <w:i/>
          <w:sz w:val="22"/>
        </w:rPr>
      </w:pPr>
      <w:r w:rsidRPr="00C85D31">
        <w:rPr>
          <w:rFonts w:cs="Times New Roman"/>
          <w:b/>
          <w:i/>
          <w:sz w:val="22"/>
        </w:rPr>
        <w:t>Az utólagos hatásvizsgálat eredménye az előzőekben megfogalmazott célok alapján:</w:t>
      </w:r>
    </w:p>
    <w:p w:rsidR="008A7641" w:rsidRPr="00C85D31" w:rsidRDefault="008A7641" w:rsidP="008A7641">
      <w:pPr>
        <w:autoSpaceDE w:val="0"/>
        <w:autoSpaceDN w:val="0"/>
        <w:adjustRightInd w:val="0"/>
        <w:rPr>
          <w:rFonts w:cs="Times New Roman"/>
          <w:i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8A7641" w:rsidRPr="00C85D31" w:rsidTr="00F21E2D">
        <w:tc>
          <w:tcPr>
            <w:tcW w:w="9212" w:type="dxa"/>
            <w:gridSpan w:val="2"/>
          </w:tcPr>
          <w:p w:rsidR="008A7641" w:rsidRPr="00C85D31" w:rsidRDefault="008A7641" w:rsidP="00F21E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b/>
                <w:sz w:val="22"/>
              </w:rPr>
              <w:t>Utólagos hatásvizsgálat eredménye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Vizsgálati szempontok az előzetes hatásvizsgálat alapján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jc w:val="center"/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Eltérések az előzetes vizsgálat eredményétől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Társadalmi, gazdasági</w:t>
            </w:r>
            <w:r w:rsidR="00F67C66" w:rsidRPr="00C85D31">
              <w:rPr>
                <w:rFonts w:cs="Times New Roman"/>
                <w:sz w:val="22"/>
              </w:rPr>
              <w:t>, költségvetési</w:t>
            </w:r>
            <w:r w:rsidRPr="00C85D31">
              <w:rPr>
                <w:rFonts w:cs="Times New Roman"/>
                <w:sz w:val="22"/>
              </w:rPr>
              <w:t xml:space="preserve"> kihatás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Környezeti</w:t>
            </w:r>
            <w:r w:rsidR="00F67C66" w:rsidRPr="00C85D31">
              <w:rPr>
                <w:rFonts w:cs="Times New Roman"/>
                <w:sz w:val="22"/>
              </w:rPr>
              <w:t>, egészségügyi</w:t>
            </w:r>
            <w:r w:rsidRPr="00C85D31">
              <w:rPr>
                <w:rFonts w:cs="Times New Roman"/>
                <w:sz w:val="22"/>
              </w:rPr>
              <w:t xml:space="preserve"> kihatás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Adminisztratív terheket befolyásoló hatásai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b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Megalkotásának szükségessége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Megalkotása elmaradásának várható következményei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  <w:tr w:rsidR="008A7641" w:rsidRPr="00C85D31" w:rsidTr="00F21E2D"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eastAsia="Calibri" w:cs="Times New Roman"/>
                <w:sz w:val="22"/>
              </w:rPr>
              <w:t>Alkalmazásához szükséges személyi, szervezeti, tárgyi és pénzügyi feltételek</w:t>
            </w:r>
          </w:p>
        </w:tc>
        <w:tc>
          <w:tcPr>
            <w:tcW w:w="4606" w:type="dxa"/>
          </w:tcPr>
          <w:p w:rsidR="008A7641" w:rsidRPr="00C85D31" w:rsidRDefault="008A7641" w:rsidP="00F21E2D">
            <w:pPr>
              <w:rPr>
                <w:rFonts w:cs="Times New Roman"/>
                <w:sz w:val="22"/>
              </w:rPr>
            </w:pPr>
            <w:r w:rsidRPr="00C85D31">
              <w:rPr>
                <w:rFonts w:cs="Times New Roman"/>
                <w:sz w:val="22"/>
              </w:rPr>
              <w:t>Az előzetes hatásvizsgálat eredményétől eltérés nem tapasztalható.</w:t>
            </w:r>
          </w:p>
        </w:tc>
      </w:tr>
    </w:tbl>
    <w:p w:rsidR="00D873F9" w:rsidRPr="00C85D31" w:rsidRDefault="00D873F9" w:rsidP="00D873F9">
      <w:pPr>
        <w:suppressAutoHyphens/>
        <w:rPr>
          <w:rFonts w:cs="Times New Roman"/>
          <w:sz w:val="22"/>
        </w:rPr>
      </w:pPr>
    </w:p>
    <w:p w:rsidR="00294656" w:rsidRDefault="00840384" w:rsidP="00D873F9">
      <w:pPr>
        <w:suppressAutoHyphens/>
        <w:rPr>
          <w:rFonts w:cs="Times New Roman"/>
          <w:sz w:val="22"/>
        </w:rPr>
      </w:pPr>
      <w:r w:rsidRPr="00C85D31">
        <w:rPr>
          <w:rFonts w:cs="Times New Roman"/>
          <w:sz w:val="22"/>
        </w:rPr>
        <w:t xml:space="preserve">Összességében </w:t>
      </w:r>
      <w:r w:rsidR="00704660" w:rsidRPr="00C85D31">
        <w:rPr>
          <w:rFonts w:cs="Times New Roman"/>
          <w:sz w:val="22"/>
        </w:rPr>
        <w:t xml:space="preserve">megállapítható, hogy a képviselő-testület által az előterjesztés által elemzett időszakában elfogadott önkormányzati rendeletek az előzetes hatásvizsgálatokban megfogalmazott eredményeket igazolták. </w:t>
      </w:r>
    </w:p>
    <w:p w:rsidR="00294656" w:rsidRDefault="00294656" w:rsidP="00D873F9">
      <w:pPr>
        <w:suppressAutoHyphens/>
        <w:rPr>
          <w:rFonts w:cs="Times New Roman"/>
          <w:sz w:val="22"/>
        </w:rPr>
      </w:pPr>
    </w:p>
    <w:p w:rsidR="00704660" w:rsidRPr="00C85D31" w:rsidRDefault="00704660" w:rsidP="00D873F9">
      <w:pPr>
        <w:suppressAutoHyphens/>
        <w:rPr>
          <w:rFonts w:cs="Times New Roman"/>
          <w:sz w:val="22"/>
        </w:rPr>
      </w:pPr>
      <w:r w:rsidRPr="00C85D31">
        <w:rPr>
          <w:rFonts w:cs="Times New Roman"/>
          <w:sz w:val="22"/>
        </w:rPr>
        <w:t xml:space="preserve">Az utólagos hatásvizsgálat eredményeképpen megállapítható, hogy a </w:t>
      </w:r>
      <w:r w:rsidR="00294656">
        <w:rPr>
          <w:rFonts w:cs="Times New Roman"/>
          <w:sz w:val="22"/>
        </w:rPr>
        <w:t xml:space="preserve">jelenlegi </w:t>
      </w:r>
      <w:r w:rsidR="00AE0B15">
        <w:rPr>
          <w:rFonts w:cs="Times New Roman"/>
          <w:sz w:val="22"/>
        </w:rPr>
        <w:t>támogatási</w:t>
      </w:r>
      <w:r w:rsidR="00294656">
        <w:rPr>
          <w:rFonts w:cs="Times New Roman"/>
          <w:sz w:val="22"/>
        </w:rPr>
        <w:t xml:space="preserve"> rendszer </w:t>
      </w:r>
      <w:r w:rsidR="00AE0B15">
        <w:rPr>
          <w:rFonts w:cs="Times New Roman"/>
          <w:sz w:val="22"/>
        </w:rPr>
        <w:t xml:space="preserve">fennmaradása esetén a szociális ellátásokra vonatkozó önkormányzati rendelet </w:t>
      </w:r>
      <w:proofErr w:type="gramStart"/>
      <w:r w:rsidR="00AE0B15">
        <w:rPr>
          <w:rFonts w:cs="Times New Roman"/>
          <w:sz w:val="22"/>
        </w:rPr>
        <w:t>finanszírozása</w:t>
      </w:r>
      <w:proofErr w:type="gramEnd"/>
      <w:r w:rsidR="00AE0B15">
        <w:rPr>
          <w:rFonts w:cs="Times New Roman"/>
          <w:sz w:val="22"/>
        </w:rPr>
        <w:t xml:space="preserve"> az önkormányzatnak aránytalanul sok saját forrását veszi igénybe. Az említett ellátások megszüntetése a </w:t>
      </w:r>
      <w:proofErr w:type="gramStart"/>
      <w:r w:rsidR="00AE0B15">
        <w:rPr>
          <w:rFonts w:cs="Times New Roman"/>
          <w:sz w:val="22"/>
        </w:rPr>
        <w:t>problémát</w:t>
      </w:r>
      <w:proofErr w:type="gramEnd"/>
      <w:r w:rsidR="00AE0B15">
        <w:rPr>
          <w:rFonts w:cs="Times New Roman"/>
          <w:sz w:val="22"/>
        </w:rPr>
        <w:t xml:space="preserve"> nem oldja meg, hiszen ápolási díjban 0 fő, gyógyszertámogatásban 1 fő, szemétszállítási díjtámogatásban 0 fő </w:t>
      </w:r>
      <w:r w:rsidR="000C72EA">
        <w:rPr>
          <w:rFonts w:cs="Times New Roman"/>
          <w:sz w:val="22"/>
        </w:rPr>
        <w:t>részesül</w:t>
      </w:r>
      <w:r w:rsidR="00AE0B15">
        <w:rPr>
          <w:rFonts w:cs="Times New Roman"/>
          <w:sz w:val="22"/>
        </w:rPr>
        <w:t xml:space="preserve">. </w:t>
      </w:r>
      <w:r w:rsidR="000C72EA">
        <w:rPr>
          <w:rFonts w:cs="Times New Roman"/>
          <w:sz w:val="22"/>
        </w:rPr>
        <w:t>Költségvetési szempontból jelentős kiadást a beiskolázási, illetve a karácsonyi támogatás okoz. A képviselő-testület döntése esetén az érintett önkormányzati rendelet felülvizsgálatát indokoltnak tartom.</w:t>
      </w:r>
      <w:r w:rsidRPr="00C85D31">
        <w:rPr>
          <w:rFonts w:cs="Times New Roman"/>
          <w:sz w:val="22"/>
        </w:rPr>
        <w:t xml:space="preserve"> </w:t>
      </w:r>
    </w:p>
    <w:p w:rsidR="00840384" w:rsidRPr="00C85D31" w:rsidRDefault="00704660" w:rsidP="00D873F9">
      <w:pPr>
        <w:suppressAutoHyphens/>
        <w:rPr>
          <w:rFonts w:cs="Times New Roman"/>
          <w:sz w:val="22"/>
        </w:rPr>
      </w:pPr>
      <w:r w:rsidRPr="00C85D31">
        <w:rPr>
          <w:rFonts w:cs="Times New Roman"/>
          <w:sz w:val="22"/>
        </w:rPr>
        <w:t xml:space="preserve">  </w:t>
      </w:r>
    </w:p>
    <w:p w:rsidR="00840384" w:rsidRPr="00C85D31" w:rsidRDefault="00840384" w:rsidP="00840384">
      <w:pPr>
        <w:pStyle w:val="Stlus"/>
        <w:jc w:val="both"/>
        <w:rPr>
          <w:b/>
          <w:bCs/>
          <w:sz w:val="22"/>
          <w:szCs w:val="22"/>
        </w:rPr>
      </w:pPr>
      <w:r w:rsidRPr="00C85D31">
        <w:rPr>
          <w:b/>
          <w:bCs/>
          <w:sz w:val="22"/>
          <w:szCs w:val="22"/>
        </w:rPr>
        <w:t>Határozati Javaslat:</w:t>
      </w:r>
    </w:p>
    <w:p w:rsidR="00840384" w:rsidRPr="00C85D31" w:rsidRDefault="00840384" w:rsidP="00840384">
      <w:pPr>
        <w:pStyle w:val="Stlus"/>
        <w:jc w:val="both"/>
        <w:rPr>
          <w:bCs/>
          <w:sz w:val="22"/>
          <w:szCs w:val="22"/>
        </w:rPr>
      </w:pPr>
    </w:p>
    <w:p w:rsidR="00840384" w:rsidRPr="00C85D31" w:rsidRDefault="003B1D9B" w:rsidP="00840384">
      <w:pPr>
        <w:pStyle w:val="Stlus"/>
        <w:jc w:val="both"/>
        <w:rPr>
          <w:b/>
          <w:bCs/>
          <w:sz w:val="22"/>
          <w:szCs w:val="22"/>
        </w:rPr>
      </w:pPr>
      <w:r w:rsidRPr="00C85D31">
        <w:rPr>
          <w:b/>
          <w:bCs/>
          <w:sz w:val="22"/>
          <w:szCs w:val="22"/>
        </w:rPr>
        <w:t>…/202</w:t>
      </w:r>
      <w:r w:rsidR="00294656">
        <w:rPr>
          <w:b/>
          <w:bCs/>
          <w:sz w:val="22"/>
          <w:szCs w:val="22"/>
        </w:rPr>
        <w:t>5</w:t>
      </w:r>
      <w:r w:rsidR="00840384" w:rsidRPr="00C85D31">
        <w:rPr>
          <w:b/>
          <w:bCs/>
          <w:sz w:val="22"/>
          <w:szCs w:val="22"/>
        </w:rPr>
        <w:t>.(V</w:t>
      </w:r>
      <w:r w:rsidR="00294656">
        <w:rPr>
          <w:b/>
          <w:bCs/>
          <w:sz w:val="22"/>
          <w:szCs w:val="22"/>
        </w:rPr>
        <w:t>III</w:t>
      </w:r>
      <w:proofErr w:type="gramStart"/>
      <w:r w:rsidR="00840384" w:rsidRPr="00C85D31">
        <w:rPr>
          <w:b/>
          <w:bCs/>
          <w:sz w:val="22"/>
          <w:szCs w:val="22"/>
        </w:rPr>
        <w:t>….</w:t>
      </w:r>
      <w:proofErr w:type="gramEnd"/>
      <w:r w:rsidR="00840384" w:rsidRPr="00C85D31">
        <w:rPr>
          <w:b/>
          <w:bCs/>
          <w:sz w:val="22"/>
          <w:szCs w:val="22"/>
        </w:rPr>
        <w:t>) sz. Önkormányzati képviselő-testületi határozat.</w:t>
      </w:r>
    </w:p>
    <w:p w:rsidR="00704660" w:rsidRPr="00C85D31" w:rsidRDefault="00294656" w:rsidP="00840384">
      <w:pPr>
        <w:pStyle w:val="Stlus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Berzence Nagyk</w:t>
      </w:r>
      <w:r w:rsidR="00840384" w:rsidRPr="00C85D31">
        <w:rPr>
          <w:bCs/>
          <w:sz w:val="22"/>
          <w:szCs w:val="22"/>
        </w:rPr>
        <w:t>özség Önkormá</w:t>
      </w:r>
      <w:r>
        <w:rPr>
          <w:bCs/>
          <w:sz w:val="22"/>
          <w:szCs w:val="22"/>
        </w:rPr>
        <w:t>nyzat Képviselő-testülete a 2023. és 2024</w:t>
      </w:r>
      <w:r w:rsidR="00840384" w:rsidRPr="00C85D31">
        <w:rPr>
          <w:bCs/>
          <w:sz w:val="22"/>
          <w:szCs w:val="22"/>
        </w:rPr>
        <w:t>. évben elfogadott, hatályba lépett önkormányzati rendeletek utólagos hatásvizsgálatáról szóló előterjesztést</w:t>
      </w:r>
      <w:r w:rsidR="00704660" w:rsidRPr="00C85D31">
        <w:rPr>
          <w:bCs/>
          <w:sz w:val="22"/>
          <w:szCs w:val="22"/>
        </w:rPr>
        <w:t xml:space="preserve"> elfogadja.</w:t>
      </w:r>
    </w:p>
    <w:p w:rsidR="00704660" w:rsidRPr="00C85D31" w:rsidRDefault="00704660" w:rsidP="00840384">
      <w:pPr>
        <w:pStyle w:val="Stlus"/>
        <w:jc w:val="both"/>
        <w:rPr>
          <w:bCs/>
          <w:sz w:val="22"/>
          <w:szCs w:val="22"/>
        </w:rPr>
      </w:pPr>
    </w:p>
    <w:p w:rsidR="00704660" w:rsidRPr="00C85D31" w:rsidRDefault="00294656" w:rsidP="00840384">
      <w:pPr>
        <w:pStyle w:val="Stlus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Berzence, 2025. augusztus 19.</w:t>
      </w:r>
    </w:p>
    <w:p w:rsidR="00704660" w:rsidRPr="00C85D31" w:rsidRDefault="00704660" w:rsidP="00840384">
      <w:pPr>
        <w:pStyle w:val="Stlus"/>
        <w:jc w:val="both"/>
        <w:rPr>
          <w:b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294656" w:rsidRPr="00C85D31" w:rsidTr="00704660">
        <w:tc>
          <w:tcPr>
            <w:tcW w:w="4606" w:type="dxa"/>
          </w:tcPr>
          <w:p w:rsidR="00704660" w:rsidRPr="00C85D31" w:rsidRDefault="00704660" w:rsidP="00840384">
            <w:pPr>
              <w:pStyle w:val="Stlus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704660" w:rsidRPr="00C85D31" w:rsidRDefault="00704660" w:rsidP="00704660">
            <w:pPr>
              <w:pStyle w:val="Stlus"/>
              <w:jc w:val="center"/>
              <w:rPr>
                <w:bCs/>
                <w:sz w:val="22"/>
                <w:szCs w:val="22"/>
              </w:rPr>
            </w:pPr>
            <w:r w:rsidRPr="00C85D31">
              <w:rPr>
                <w:bCs/>
                <w:sz w:val="22"/>
                <w:szCs w:val="22"/>
              </w:rPr>
              <w:t>Boti Ferenc</w:t>
            </w:r>
          </w:p>
        </w:tc>
      </w:tr>
      <w:tr w:rsidR="00294656" w:rsidRPr="00C85D31" w:rsidTr="00704660">
        <w:tc>
          <w:tcPr>
            <w:tcW w:w="4606" w:type="dxa"/>
          </w:tcPr>
          <w:p w:rsidR="00704660" w:rsidRPr="00C85D31" w:rsidRDefault="00704660" w:rsidP="00840384">
            <w:pPr>
              <w:pStyle w:val="Stlus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704660" w:rsidRPr="00C85D31" w:rsidRDefault="00294656" w:rsidP="00704660">
            <w:pPr>
              <w:pStyle w:val="Stlu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jegyző</w:t>
            </w:r>
          </w:p>
        </w:tc>
      </w:tr>
    </w:tbl>
    <w:p w:rsidR="006A5482" w:rsidRPr="00C85D31" w:rsidRDefault="006A5482" w:rsidP="00CC28CC">
      <w:pPr>
        <w:rPr>
          <w:rFonts w:cs="Times New Roman"/>
          <w:sz w:val="22"/>
        </w:rPr>
      </w:pPr>
    </w:p>
    <w:sectPr w:rsidR="006A5482" w:rsidRPr="00C85D31" w:rsidSect="006A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3F7"/>
    <w:multiLevelType w:val="hybridMultilevel"/>
    <w:tmpl w:val="685E4AB4"/>
    <w:lvl w:ilvl="0" w:tplc="65363B7E">
      <w:start w:val="1"/>
      <w:numFmt w:val="lowerLetter"/>
      <w:lvlText w:val="%1)"/>
      <w:lvlJc w:val="left"/>
      <w:pPr>
        <w:ind w:left="185" w:hanging="260"/>
      </w:pPr>
      <w:rPr>
        <w:rFonts w:ascii="Times New Roman" w:eastAsia="Times New Roman" w:hAnsi="Times New Roman" w:cs="Times New Roman" w:hint="default"/>
        <w:i/>
        <w:color w:val="050505"/>
        <w:w w:val="102"/>
        <w:sz w:val="23"/>
        <w:szCs w:val="23"/>
      </w:rPr>
    </w:lvl>
    <w:lvl w:ilvl="1" w:tplc="A2181A96">
      <w:start w:val="1"/>
      <w:numFmt w:val="bullet"/>
      <w:lvlText w:val="•"/>
      <w:lvlJc w:val="left"/>
      <w:pPr>
        <w:ind w:left="1228" w:hanging="260"/>
      </w:pPr>
      <w:rPr>
        <w:rFonts w:hint="default"/>
      </w:rPr>
    </w:lvl>
    <w:lvl w:ilvl="2" w:tplc="3A72A136">
      <w:start w:val="1"/>
      <w:numFmt w:val="bullet"/>
      <w:lvlText w:val="•"/>
      <w:lvlJc w:val="left"/>
      <w:pPr>
        <w:ind w:left="2276" w:hanging="260"/>
      </w:pPr>
      <w:rPr>
        <w:rFonts w:hint="default"/>
      </w:rPr>
    </w:lvl>
    <w:lvl w:ilvl="3" w:tplc="17882342">
      <w:start w:val="1"/>
      <w:numFmt w:val="bullet"/>
      <w:lvlText w:val="•"/>
      <w:lvlJc w:val="left"/>
      <w:pPr>
        <w:ind w:left="3325" w:hanging="260"/>
      </w:pPr>
      <w:rPr>
        <w:rFonts w:hint="default"/>
      </w:rPr>
    </w:lvl>
    <w:lvl w:ilvl="4" w:tplc="0358A50E">
      <w:start w:val="1"/>
      <w:numFmt w:val="bullet"/>
      <w:lvlText w:val="•"/>
      <w:lvlJc w:val="left"/>
      <w:pPr>
        <w:ind w:left="4373" w:hanging="260"/>
      </w:pPr>
      <w:rPr>
        <w:rFonts w:hint="default"/>
      </w:rPr>
    </w:lvl>
    <w:lvl w:ilvl="5" w:tplc="B5E6D3FA">
      <w:start w:val="1"/>
      <w:numFmt w:val="bullet"/>
      <w:lvlText w:val="•"/>
      <w:lvlJc w:val="left"/>
      <w:pPr>
        <w:ind w:left="5422" w:hanging="260"/>
      </w:pPr>
      <w:rPr>
        <w:rFonts w:hint="default"/>
      </w:rPr>
    </w:lvl>
    <w:lvl w:ilvl="6" w:tplc="C53AC552">
      <w:start w:val="1"/>
      <w:numFmt w:val="bullet"/>
      <w:lvlText w:val="•"/>
      <w:lvlJc w:val="left"/>
      <w:pPr>
        <w:ind w:left="6470" w:hanging="260"/>
      </w:pPr>
      <w:rPr>
        <w:rFonts w:hint="default"/>
      </w:rPr>
    </w:lvl>
    <w:lvl w:ilvl="7" w:tplc="721AECE6">
      <w:start w:val="1"/>
      <w:numFmt w:val="bullet"/>
      <w:lvlText w:val="•"/>
      <w:lvlJc w:val="left"/>
      <w:pPr>
        <w:ind w:left="7518" w:hanging="260"/>
      </w:pPr>
      <w:rPr>
        <w:rFonts w:hint="default"/>
      </w:rPr>
    </w:lvl>
    <w:lvl w:ilvl="8" w:tplc="B4B07562">
      <w:start w:val="1"/>
      <w:numFmt w:val="bullet"/>
      <w:lvlText w:val="•"/>
      <w:lvlJc w:val="left"/>
      <w:pPr>
        <w:ind w:left="8567" w:hanging="260"/>
      </w:pPr>
      <w:rPr>
        <w:rFonts w:hint="default"/>
      </w:rPr>
    </w:lvl>
  </w:abstractNum>
  <w:abstractNum w:abstractNumId="1" w15:restartNumberingAfterBreak="0">
    <w:nsid w:val="18FD48C0"/>
    <w:multiLevelType w:val="hybridMultilevel"/>
    <w:tmpl w:val="525CEE20"/>
    <w:lvl w:ilvl="0" w:tplc="88F6E052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8524F"/>
    <w:multiLevelType w:val="multilevel"/>
    <w:tmpl w:val="E2A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E5E5F"/>
    <w:multiLevelType w:val="multilevel"/>
    <w:tmpl w:val="742C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D3A2E"/>
    <w:multiLevelType w:val="multilevel"/>
    <w:tmpl w:val="82B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14A46"/>
    <w:multiLevelType w:val="multilevel"/>
    <w:tmpl w:val="525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3C4E"/>
    <w:multiLevelType w:val="hybridMultilevel"/>
    <w:tmpl w:val="72B637F6"/>
    <w:lvl w:ilvl="0" w:tplc="23165A78">
      <w:start w:val="3"/>
      <w:numFmt w:val="decimal"/>
      <w:lvlText w:val="(%1)"/>
      <w:lvlJc w:val="left"/>
      <w:pPr>
        <w:ind w:left="166" w:hanging="384"/>
      </w:pPr>
      <w:rPr>
        <w:rFonts w:ascii="Times New Roman" w:eastAsia="Times New Roman" w:hAnsi="Times New Roman" w:cs="Times New Roman" w:hint="default"/>
        <w:color w:val="050505"/>
        <w:w w:val="101"/>
        <w:sz w:val="23"/>
        <w:szCs w:val="23"/>
      </w:rPr>
    </w:lvl>
    <w:lvl w:ilvl="1" w:tplc="0704803E">
      <w:start w:val="1"/>
      <w:numFmt w:val="bullet"/>
      <w:lvlText w:val="•"/>
      <w:lvlJc w:val="left"/>
      <w:pPr>
        <w:ind w:left="1260" w:hanging="384"/>
      </w:pPr>
      <w:rPr>
        <w:rFonts w:hint="default"/>
      </w:rPr>
    </w:lvl>
    <w:lvl w:ilvl="2" w:tplc="3D3EF06A">
      <w:start w:val="1"/>
      <w:numFmt w:val="bullet"/>
      <w:lvlText w:val="•"/>
      <w:lvlJc w:val="left"/>
      <w:pPr>
        <w:ind w:left="2300" w:hanging="384"/>
      </w:pPr>
      <w:rPr>
        <w:rFonts w:hint="default"/>
      </w:rPr>
    </w:lvl>
    <w:lvl w:ilvl="3" w:tplc="9710D538">
      <w:start w:val="1"/>
      <w:numFmt w:val="bullet"/>
      <w:lvlText w:val="•"/>
      <w:lvlJc w:val="left"/>
      <w:pPr>
        <w:ind w:left="3340" w:hanging="384"/>
      </w:pPr>
      <w:rPr>
        <w:rFonts w:hint="default"/>
      </w:rPr>
    </w:lvl>
    <w:lvl w:ilvl="4" w:tplc="8546662C">
      <w:start w:val="1"/>
      <w:numFmt w:val="bullet"/>
      <w:lvlText w:val="•"/>
      <w:lvlJc w:val="left"/>
      <w:pPr>
        <w:ind w:left="4381" w:hanging="384"/>
      </w:pPr>
      <w:rPr>
        <w:rFonts w:hint="default"/>
      </w:rPr>
    </w:lvl>
    <w:lvl w:ilvl="5" w:tplc="3E6E7DF4">
      <w:start w:val="1"/>
      <w:numFmt w:val="bullet"/>
      <w:lvlText w:val="•"/>
      <w:lvlJc w:val="left"/>
      <w:pPr>
        <w:ind w:left="5421" w:hanging="384"/>
      </w:pPr>
      <w:rPr>
        <w:rFonts w:hint="default"/>
      </w:rPr>
    </w:lvl>
    <w:lvl w:ilvl="6" w:tplc="6FEAF37C">
      <w:start w:val="1"/>
      <w:numFmt w:val="bullet"/>
      <w:lvlText w:val="•"/>
      <w:lvlJc w:val="left"/>
      <w:pPr>
        <w:ind w:left="6462" w:hanging="384"/>
      </w:pPr>
      <w:rPr>
        <w:rFonts w:hint="default"/>
      </w:rPr>
    </w:lvl>
    <w:lvl w:ilvl="7" w:tplc="90DCC138">
      <w:start w:val="1"/>
      <w:numFmt w:val="bullet"/>
      <w:lvlText w:val="•"/>
      <w:lvlJc w:val="left"/>
      <w:pPr>
        <w:ind w:left="7502" w:hanging="384"/>
      </w:pPr>
      <w:rPr>
        <w:rFonts w:hint="default"/>
      </w:rPr>
    </w:lvl>
    <w:lvl w:ilvl="8" w:tplc="1BD8B58A">
      <w:start w:val="1"/>
      <w:numFmt w:val="bullet"/>
      <w:lvlText w:val="•"/>
      <w:lvlJc w:val="left"/>
      <w:pPr>
        <w:ind w:left="8543" w:hanging="384"/>
      </w:pPr>
      <w:rPr>
        <w:rFonts w:hint="default"/>
      </w:rPr>
    </w:lvl>
  </w:abstractNum>
  <w:abstractNum w:abstractNumId="7" w15:restartNumberingAfterBreak="0">
    <w:nsid w:val="75BD246E"/>
    <w:multiLevelType w:val="hybridMultilevel"/>
    <w:tmpl w:val="144035E2"/>
    <w:lvl w:ilvl="0" w:tplc="70E2E62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82"/>
    <w:rsid w:val="00023ADA"/>
    <w:rsid w:val="00031C4D"/>
    <w:rsid w:val="000547AE"/>
    <w:rsid w:val="000C72EA"/>
    <w:rsid w:val="000E6A6A"/>
    <w:rsid w:val="001072C5"/>
    <w:rsid w:val="00115CF0"/>
    <w:rsid w:val="0016200C"/>
    <w:rsid w:val="00175B65"/>
    <w:rsid w:val="001F7563"/>
    <w:rsid w:val="00207719"/>
    <w:rsid w:val="00294656"/>
    <w:rsid w:val="002C0076"/>
    <w:rsid w:val="00321B7E"/>
    <w:rsid w:val="003448C0"/>
    <w:rsid w:val="003A01F7"/>
    <w:rsid w:val="003B1D9B"/>
    <w:rsid w:val="003E3352"/>
    <w:rsid w:val="00414878"/>
    <w:rsid w:val="00421DD3"/>
    <w:rsid w:val="00423BE3"/>
    <w:rsid w:val="00436EE7"/>
    <w:rsid w:val="0045284C"/>
    <w:rsid w:val="004752C8"/>
    <w:rsid w:val="004815AA"/>
    <w:rsid w:val="00484D81"/>
    <w:rsid w:val="00510D7D"/>
    <w:rsid w:val="00535782"/>
    <w:rsid w:val="00535A2E"/>
    <w:rsid w:val="00535EB0"/>
    <w:rsid w:val="00536CEE"/>
    <w:rsid w:val="005448B2"/>
    <w:rsid w:val="006111AF"/>
    <w:rsid w:val="006121C7"/>
    <w:rsid w:val="006206FC"/>
    <w:rsid w:val="00625071"/>
    <w:rsid w:val="006708AC"/>
    <w:rsid w:val="0067656E"/>
    <w:rsid w:val="006A5482"/>
    <w:rsid w:val="006B5020"/>
    <w:rsid w:val="006E05C7"/>
    <w:rsid w:val="006E4D84"/>
    <w:rsid w:val="00704660"/>
    <w:rsid w:val="007169E1"/>
    <w:rsid w:val="00733CEE"/>
    <w:rsid w:val="00754BC0"/>
    <w:rsid w:val="00775C1A"/>
    <w:rsid w:val="00776F1F"/>
    <w:rsid w:val="00777583"/>
    <w:rsid w:val="007D458E"/>
    <w:rsid w:val="00840384"/>
    <w:rsid w:val="00883530"/>
    <w:rsid w:val="0088773F"/>
    <w:rsid w:val="008A7641"/>
    <w:rsid w:val="008B27D1"/>
    <w:rsid w:val="00972869"/>
    <w:rsid w:val="009952CC"/>
    <w:rsid w:val="009A7DD7"/>
    <w:rsid w:val="00A04B2C"/>
    <w:rsid w:val="00A6011E"/>
    <w:rsid w:val="00A63A1D"/>
    <w:rsid w:val="00A63B32"/>
    <w:rsid w:val="00AE0B15"/>
    <w:rsid w:val="00B10329"/>
    <w:rsid w:val="00B97D0A"/>
    <w:rsid w:val="00BA47B9"/>
    <w:rsid w:val="00BB4D12"/>
    <w:rsid w:val="00BC33A2"/>
    <w:rsid w:val="00BC6CB3"/>
    <w:rsid w:val="00BF7843"/>
    <w:rsid w:val="00C659B2"/>
    <w:rsid w:val="00C85D31"/>
    <w:rsid w:val="00C9020A"/>
    <w:rsid w:val="00CA2A10"/>
    <w:rsid w:val="00CB22F7"/>
    <w:rsid w:val="00CB29C3"/>
    <w:rsid w:val="00CC28CC"/>
    <w:rsid w:val="00CC7C2F"/>
    <w:rsid w:val="00CE20E2"/>
    <w:rsid w:val="00CE4507"/>
    <w:rsid w:val="00CF5CD9"/>
    <w:rsid w:val="00D5396B"/>
    <w:rsid w:val="00D53E17"/>
    <w:rsid w:val="00D73D26"/>
    <w:rsid w:val="00D873F9"/>
    <w:rsid w:val="00DF0945"/>
    <w:rsid w:val="00E93971"/>
    <w:rsid w:val="00E95663"/>
    <w:rsid w:val="00EF0982"/>
    <w:rsid w:val="00F21E2D"/>
    <w:rsid w:val="00F67C66"/>
    <w:rsid w:val="00F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A57"/>
  <w15:docId w15:val="{AC797C9B-F1E9-4503-8743-55FF90EE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982"/>
  </w:style>
  <w:style w:type="paragraph" w:styleId="Cmsor1">
    <w:name w:val="heading 1"/>
    <w:basedOn w:val="Norml"/>
    <w:link w:val="Cmsor1Char"/>
    <w:uiPriority w:val="9"/>
    <w:qFormat/>
    <w:rsid w:val="00BC33A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4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BC33A2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EF0982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1032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03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329"/>
    <w:rPr>
      <w:rFonts w:ascii="Tahoma" w:hAnsi="Tahoma" w:cs="Tahoma"/>
      <w:sz w:val="16"/>
      <w:szCs w:val="16"/>
    </w:rPr>
  </w:style>
  <w:style w:type="character" w:customStyle="1" w:styleId="chapter1">
    <w:name w:val="chapter1"/>
    <w:basedOn w:val="Bekezdsalapbettpusa"/>
    <w:rsid w:val="00B10329"/>
  </w:style>
  <w:style w:type="paragraph" w:customStyle="1" w:styleId="Nincstrkz1">
    <w:name w:val="Nincs térköz1"/>
    <w:rsid w:val="003448C0"/>
    <w:pPr>
      <w:suppressAutoHyphens/>
      <w:spacing w:line="100" w:lineRule="atLeast"/>
      <w:jc w:val="left"/>
    </w:pPr>
    <w:rPr>
      <w:rFonts w:ascii="Calibri" w:eastAsia="Lucida Sans Unicode" w:hAnsi="Calibri" w:cs="Calibri"/>
      <w:kern w:val="1"/>
      <w:sz w:val="22"/>
      <w:lang w:eastAsia="ar-SA"/>
    </w:rPr>
  </w:style>
  <w:style w:type="paragraph" w:customStyle="1" w:styleId="Cmsor11">
    <w:name w:val="Címsor 11"/>
    <w:basedOn w:val="Cmsor2"/>
    <w:rsid w:val="003448C0"/>
    <w:pPr>
      <w:keepLines w:val="0"/>
      <w:spacing w:before="240" w:after="60"/>
      <w:jc w:val="center"/>
    </w:pPr>
    <w:rPr>
      <w:rFonts w:ascii="Arial" w:eastAsia="Times New Roman" w:hAnsi="Arial" w:cs="Times New Roman"/>
      <w:bCs w:val="0"/>
      <w:color w:val="auto"/>
      <w:sz w:val="2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44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9A7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semiHidden/>
    <w:unhideWhenUsed/>
    <w:rsid w:val="00DF094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A63A1D"/>
    <w:pPr>
      <w:spacing w:after="120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63A1D"/>
    <w:rPr>
      <w:rFonts w:eastAsia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rsid w:val="00A63A1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</w:rPr>
  </w:style>
  <w:style w:type="paragraph" w:styleId="Listaszerbekezds">
    <w:name w:val="List Paragraph"/>
    <w:basedOn w:val="Norml"/>
    <w:uiPriority w:val="34"/>
    <w:qFormat/>
    <w:rsid w:val="00A63A1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C33A2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C33A2"/>
    <w:rPr>
      <w:rFonts w:eastAsia="Times New Roman" w:cs="Times New Roman"/>
      <w:b/>
      <w:bCs/>
      <w:sz w:val="27"/>
      <w:szCs w:val="27"/>
      <w:lang w:eastAsia="hu-HU"/>
    </w:rPr>
  </w:style>
  <w:style w:type="character" w:customStyle="1" w:styleId="hataly">
    <w:name w:val="hataly"/>
    <w:basedOn w:val="Bekezdsalapbettpusa"/>
    <w:rsid w:val="00BC33A2"/>
  </w:style>
  <w:style w:type="character" w:customStyle="1" w:styleId="hatalytext">
    <w:name w:val="hatalytext"/>
    <w:basedOn w:val="Bekezdsalapbettpusa"/>
    <w:rsid w:val="00BC33A2"/>
  </w:style>
  <w:style w:type="character" w:styleId="Kiemels2">
    <w:name w:val="Strong"/>
    <w:basedOn w:val="Bekezdsalapbettpusa"/>
    <w:uiPriority w:val="22"/>
    <w:qFormat/>
    <w:rsid w:val="00BC33A2"/>
    <w:rPr>
      <w:b/>
      <w:bCs/>
    </w:rPr>
  </w:style>
  <w:style w:type="character" w:styleId="Kiemels">
    <w:name w:val="Emphasis"/>
    <w:basedOn w:val="Bekezdsalapbettpusa"/>
    <w:uiPriority w:val="20"/>
    <w:qFormat/>
    <w:rsid w:val="00BC33A2"/>
    <w:rPr>
      <w:i/>
      <w:iCs/>
    </w:rPr>
  </w:style>
  <w:style w:type="paragraph" w:customStyle="1" w:styleId="x2h-tartalom">
    <w:name w:val="x2h-tartalom"/>
    <w:basedOn w:val="Norml"/>
    <w:rsid w:val="00BC33A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x2h-szakasz-sorszam">
    <w:name w:val="x2h-szakasz-sorszam"/>
    <w:basedOn w:val="Bekezdsalapbettpusa"/>
    <w:rsid w:val="00BC33A2"/>
  </w:style>
  <w:style w:type="character" w:customStyle="1" w:styleId="x2h-felsorolas">
    <w:name w:val="x2h-felsorolas"/>
    <w:basedOn w:val="Bekezdsalapbettpusa"/>
    <w:rsid w:val="00BC33A2"/>
  </w:style>
  <w:style w:type="character" w:customStyle="1" w:styleId="jel">
    <w:name w:val="jel"/>
    <w:basedOn w:val="Bekezdsalapbettpusa"/>
    <w:rsid w:val="00BC33A2"/>
  </w:style>
  <w:style w:type="character" w:customStyle="1" w:styleId="szakasz-jel">
    <w:name w:val="szakasz-jel"/>
    <w:basedOn w:val="Bekezdsalapbettpusa"/>
    <w:rsid w:val="00BC33A2"/>
  </w:style>
  <w:style w:type="character" w:customStyle="1" w:styleId="x2h-jel">
    <w:name w:val="x2h-jel"/>
    <w:basedOn w:val="Bekezdsalapbettpusa"/>
    <w:rsid w:val="00BC33A2"/>
  </w:style>
  <w:style w:type="paragraph" w:styleId="lfej">
    <w:name w:val="header"/>
    <w:basedOn w:val="Norml"/>
    <w:link w:val="lfejChar"/>
    <w:uiPriority w:val="99"/>
    <w:rsid w:val="00F21E2D"/>
    <w:pPr>
      <w:tabs>
        <w:tab w:val="center" w:pos="4536"/>
        <w:tab w:val="right" w:pos="9072"/>
      </w:tabs>
      <w:jc w:val="left"/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21E2D"/>
    <w:rPr>
      <w:rFonts w:eastAsia="Times New Roman" w:cs="Times New Roman"/>
      <w:szCs w:val="24"/>
      <w:lang w:eastAsia="hu-HU"/>
    </w:rPr>
  </w:style>
  <w:style w:type="paragraph" w:customStyle="1" w:styleId="Default">
    <w:name w:val="Default"/>
    <w:rsid w:val="00294656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85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05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0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32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11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91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2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50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80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44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6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44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71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96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47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64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57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28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40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12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69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23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5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59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16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17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9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81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5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79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3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21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49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0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8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2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2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0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8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7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3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1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6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4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9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3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34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27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61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19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17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16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70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3-3-00-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.njt.hu/eli/731629/r/2023/3/alaprendel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berzence.hu" TargetMode="External"/><Relationship Id="rId11" Type="http://schemas.openxmlformats.org/officeDocument/2006/relationships/hyperlink" Target="https://or.njt.hu/eli/731629/r/2023/1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jt.hu/jogszabaly/2012-185-00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731629/r/2023/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2608</Words>
  <Characters>17996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Iroda-4712</dc:creator>
  <cp:lastModifiedBy>Windows-felhasználó</cp:lastModifiedBy>
  <cp:revision>16</cp:revision>
  <dcterms:created xsi:type="dcterms:W3CDTF">2025-08-05T07:03:00Z</dcterms:created>
  <dcterms:modified xsi:type="dcterms:W3CDTF">2025-08-21T11:55:00Z</dcterms:modified>
</cp:coreProperties>
</file>